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1BC9">
      <w:pPr>
        <w:pStyle w:val="Ttulo"/>
        <w:ind w:left="2832" w:firstLine="708"/>
        <w:jc w:val="both"/>
      </w:pPr>
    </w:p>
    <w:p w:rsidR="00000000" w:rsidRDefault="00801BC9">
      <w:pPr>
        <w:pStyle w:val="Ttulo"/>
        <w:ind w:left="2832" w:firstLine="708"/>
        <w:jc w:val="both"/>
      </w:pPr>
    </w:p>
    <w:p w:rsidR="00000000" w:rsidRDefault="00801BC9">
      <w:pPr>
        <w:pStyle w:val="Ttulo"/>
        <w:ind w:left="2832" w:firstLine="708"/>
        <w:jc w:val="both"/>
      </w:pPr>
    </w:p>
    <w:p w:rsidR="00000000" w:rsidRDefault="00801BC9">
      <w:pPr>
        <w:pStyle w:val="Ttulo"/>
        <w:ind w:left="2832" w:firstLine="708"/>
        <w:jc w:val="both"/>
      </w:pPr>
    </w:p>
    <w:p w:rsidR="00000000" w:rsidRDefault="00801BC9">
      <w:pPr>
        <w:pStyle w:val="Ttulo"/>
        <w:ind w:left="2832" w:firstLine="708"/>
        <w:jc w:val="both"/>
      </w:pPr>
      <w:bookmarkStart w:id="0" w:name="_GoBack"/>
      <w:bookmarkEnd w:id="0"/>
    </w:p>
    <w:p w:rsidR="00000000" w:rsidRPr="00F44D72" w:rsidRDefault="00F44D72">
      <w:pPr>
        <w:pStyle w:val="Ttulo"/>
        <w:ind w:left="2832" w:firstLine="708"/>
        <w:jc w:val="both"/>
        <w:rPr>
          <w:rFonts w:ascii="Arial" w:hAnsi="Arial" w:cs="Arial"/>
          <w:color w:val="FF0000"/>
          <w:szCs w:val="24"/>
          <w:u w:val="single"/>
        </w:rPr>
      </w:pPr>
      <w:r w:rsidRPr="00F44D72">
        <w:rPr>
          <w:rFonts w:ascii="Arial" w:hAnsi="Arial" w:cs="Arial"/>
          <w:color w:val="FF0000"/>
          <w:szCs w:val="24"/>
          <w:u w:val="single"/>
        </w:rPr>
        <w:t>LEI REVOGADA PELA LEI  Nº 1648/02</w:t>
      </w:r>
    </w:p>
    <w:p w:rsidR="00000000" w:rsidRDefault="00801BC9">
      <w:pPr>
        <w:pStyle w:val="Ttulo"/>
        <w:ind w:left="2832" w:firstLine="708"/>
        <w:jc w:val="both"/>
      </w:pPr>
    </w:p>
    <w:p w:rsidR="00000000" w:rsidRPr="00F44D72" w:rsidRDefault="00801BC9">
      <w:pPr>
        <w:pStyle w:val="Ttulo"/>
        <w:ind w:left="3828"/>
        <w:jc w:val="both"/>
        <w:rPr>
          <w:strike/>
          <w:sz w:val="20"/>
        </w:rPr>
      </w:pPr>
      <w:r w:rsidRPr="00F44D72">
        <w:rPr>
          <w:strike/>
          <w:sz w:val="20"/>
        </w:rPr>
        <w:t>LEI Nº  1567 DE 20 DE JUNHO DE 2001</w:t>
      </w:r>
    </w:p>
    <w:p w:rsidR="00000000" w:rsidRPr="00F44D72" w:rsidRDefault="00801BC9">
      <w:pPr>
        <w:pStyle w:val="Ttulo"/>
        <w:ind w:left="3828"/>
        <w:jc w:val="both"/>
        <w:rPr>
          <w:strike/>
          <w:sz w:val="20"/>
        </w:rPr>
      </w:pPr>
    </w:p>
    <w:p w:rsidR="00000000" w:rsidRPr="00F44D72" w:rsidRDefault="00801BC9">
      <w:pPr>
        <w:pStyle w:val="Recuodecorpodetexto"/>
        <w:rPr>
          <w:b/>
          <w:strike/>
          <w:sz w:val="20"/>
        </w:rPr>
      </w:pPr>
      <w:r w:rsidRPr="00F44D72">
        <w:rPr>
          <w:b/>
          <w:strike/>
          <w:sz w:val="20"/>
        </w:rPr>
        <w:t>Dispõe sobre as Diretrizes para a elaboração da lei orçamentária de 2002 e dá outras providências.</w:t>
      </w:r>
    </w:p>
    <w:p w:rsidR="00000000" w:rsidRPr="00F44D72" w:rsidRDefault="00801BC9">
      <w:pPr>
        <w:pStyle w:val="Recuodecorpodetexto"/>
        <w:rPr>
          <w:strike/>
          <w:sz w:val="20"/>
        </w:rPr>
      </w:pPr>
    </w:p>
    <w:p w:rsidR="00000000" w:rsidRPr="00F44D72" w:rsidRDefault="00801BC9">
      <w:pPr>
        <w:pStyle w:val="Recuodecorpodetexto"/>
        <w:rPr>
          <w:strike/>
          <w:sz w:val="20"/>
        </w:rPr>
      </w:pPr>
      <w:r w:rsidRPr="00F44D72">
        <w:rPr>
          <w:strike/>
          <w:sz w:val="20"/>
        </w:rPr>
        <w:t>Faço saber a todos os habitantes deste município que a Câmara de Vereadores aprovou, e eu, sanciono a seguinte L</w:t>
      </w:r>
      <w:r w:rsidRPr="00F44D72">
        <w:rPr>
          <w:strike/>
          <w:sz w:val="20"/>
        </w:rPr>
        <w:t>EI: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1º</w:t>
      </w:r>
      <w:r w:rsidRPr="00F44D72">
        <w:rPr>
          <w:strike/>
        </w:rPr>
        <w:t xml:space="preserve"> - O orçamento do Município de Bom Retiro, para o exercício de 2002, será elaborado e executado de acordo com as diretrizes estabelecidas nesta lei, compreendendo: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  <w:t xml:space="preserve">I – as prioridades e metas da administração municipal, extraídas do Plano </w:t>
      </w:r>
      <w:r w:rsidRPr="00F44D72">
        <w:rPr>
          <w:strike/>
        </w:rPr>
        <w:t>Plurianual 2002/2005;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  <w:t>II – a estrutura dos orçamentos;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  <w:t>III – as diretrizes para a elaboração e a execução dos orçamentos do Município;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  <w:t>IV – as disposições sobre dívida pública municipal;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  <w:t>V – as disposições sobre despesas com pessoal;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  <w:t>VI – as</w:t>
      </w:r>
      <w:r w:rsidRPr="00F44D72">
        <w:rPr>
          <w:strike/>
        </w:rPr>
        <w:t xml:space="preserve"> disposições sobre alterações na legislação tributária; e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  <w:t>VII – as disposições gerais.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1"/>
        <w:jc w:val="center"/>
        <w:rPr>
          <w:i/>
          <w:strike/>
        </w:rPr>
      </w:pPr>
      <w:r w:rsidRPr="00F44D72">
        <w:rPr>
          <w:i/>
          <w:strike/>
        </w:rPr>
        <w:t>I – DAS PRIORIDADES E METAS DA ADMINISTRAÇÃO</w:t>
      </w:r>
    </w:p>
    <w:p w:rsidR="00000000" w:rsidRPr="00F44D72" w:rsidRDefault="00801BC9">
      <w:pPr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2º</w:t>
      </w:r>
      <w:r w:rsidRPr="00F44D72">
        <w:rPr>
          <w:strike/>
        </w:rPr>
        <w:t xml:space="preserve"> - As prioridades e metas da Administração Municipal para o exercício financeiro de 2002, são aquelas definid</w:t>
      </w:r>
      <w:r w:rsidRPr="00F44D72">
        <w:rPr>
          <w:strike/>
        </w:rPr>
        <w:t xml:space="preserve">as no Anexo I e II  desta lei. </w:t>
      </w:r>
      <w:r w:rsidRPr="00F44D72">
        <w:rPr>
          <w:strike/>
          <w:lang w:val="en-US"/>
        </w:rPr>
        <w:t>(ART. 4º, § 1º da LRF).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§ 1º</w:t>
      </w:r>
      <w:r w:rsidRPr="00F44D72">
        <w:rPr>
          <w:strike/>
        </w:rPr>
        <w:t xml:space="preserve"> - Os recursos estimados na lei orçamentária para 2002 serão destinados, preferencialmente, para as prioridades estabelecidas no Anexo I e II desta lei, não se constituindo, todavia, em limite à</w:t>
      </w:r>
      <w:r w:rsidRPr="00F44D72">
        <w:rPr>
          <w:strike/>
        </w:rPr>
        <w:t xml:space="preserve"> programação das despesas.</w:t>
      </w:r>
    </w:p>
    <w:p w:rsidR="00000000" w:rsidRPr="00F44D72" w:rsidRDefault="00801BC9">
      <w:pPr>
        <w:pStyle w:val="Recuodecorpodetexto3"/>
        <w:rPr>
          <w:strike/>
          <w:sz w:val="20"/>
        </w:rPr>
      </w:pPr>
      <w:r w:rsidRPr="00F44D72">
        <w:rPr>
          <w:strike/>
          <w:sz w:val="20"/>
        </w:rPr>
        <w:t>Parágrafo 2º - Na elaboração da proposta orçamentária para 2002, o Poder Executivo poderá aumentar ou diminuir as metas estabelecidas nesta lei a fim de compatibilizar a despesa orçada com a receita estimada, de forma a assegurar</w:t>
      </w:r>
      <w:r w:rsidRPr="00F44D72">
        <w:rPr>
          <w:strike/>
          <w:sz w:val="20"/>
        </w:rPr>
        <w:t xml:space="preserve"> o equilíbrio das contas públicas.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§ 2º</w:t>
      </w:r>
      <w:r w:rsidRPr="00F44D72">
        <w:rPr>
          <w:strike/>
        </w:rPr>
        <w:t xml:space="preserve"> - O anexo de Metas Fiscais, o anexo de Riscos Fiscais da Lei de Diretrizes Orçamentárias e o anexo de que trata o inciso I do Art. 5º da Lei de Responsabilidade Fiscal será elaborado antes do quinto exercício segu</w:t>
      </w:r>
      <w:r w:rsidRPr="00F44D72">
        <w:rPr>
          <w:strike/>
        </w:rPr>
        <w:t xml:space="preserve">inte ao da publicação da referida Lei. </w:t>
      </w:r>
      <w:r w:rsidRPr="00F44D72">
        <w:rPr>
          <w:strike/>
          <w:lang w:val="en-US"/>
        </w:rPr>
        <w:t>(ART. 4º, § 1º DA LRF)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</w:p>
    <w:p w:rsidR="00000000" w:rsidRPr="00F44D72" w:rsidRDefault="00801BC9">
      <w:pPr>
        <w:pStyle w:val="Ttulo1"/>
        <w:jc w:val="center"/>
        <w:rPr>
          <w:i/>
          <w:strike/>
        </w:rPr>
      </w:pPr>
      <w:r w:rsidRPr="00F44D72">
        <w:rPr>
          <w:i/>
          <w:strike/>
        </w:rPr>
        <w:t>II – DA ESTRUTURA DOS ORÇAMENTOS</w:t>
      </w:r>
    </w:p>
    <w:p w:rsidR="00000000" w:rsidRPr="00F44D72" w:rsidRDefault="00801BC9">
      <w:pPr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3º</w:t>
      </w:r>
      <w:r w:rsidRPr="00F44D72">
        <w:rPr>
          <w:strike/>
        </w:rPr>
        <w:t xml:space="preserve"> - O orçamento para o exercício financeiro de 2002 abrangerá os Poderes Legislativo, Executivo, seus Fundos e será elaborado levando-se em conta a E</w:t>
      </w:r>
      <w:r w:rsidRPr="00F44D72">
        <w:rPr>
          <w:strike/>
        </w:rPr>
        <w:t>strutura Organizacional da Prefeitura.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>Parágrafo Único: Estrutura Orçamentária do Município, segundo a institucional programática: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4"/>
        <w:rPr>
          <w:strike/>
        </w:rPr>
      </w:pPr>
      <w:r w:rsidRPr="00F44D72">
        <w:rPr>
          <w:strike/>
        </w:rPr>
        <w:t>I – DOS PODERES</w:t>
      </w:r>
    </w:p>
    <w:p w:rsidR="00000000" w:rsidRPr="00F44D72" w:rsidRDefault="00801BC9">
      <w:pPr>
        <w:numPr>
          <w:ilvl w:val="0"/>
          <w:numId w:val="2"/>
        </w:numPr>
        <w:spacing w:line="360" w:lineRule="auto"/>
        <w:jc w:val="both"/>
        <w:rPr>
          <w:strike/>
        </w:rPr>
      </w:pPr>
      <w:r w:rsidRPr="00F44D72">
        <w:rPr>
          <w:strike/>
        </w:rPr>
        <w:t>Poder Legislativo</w:t>
      </w:r>
    </w:p>
    <w:p w:rsidR="00000000" w:rsidRPr="00F44D72" w:rsidRDefault="00801BC9">
      <w:pPr>
        <w:numPr>
          <w:ilvl w:val="0"/>
          <w:numId w:val="2"/>
        </w:numPr>
        <w:spacing w:line="360" w:lineRule="auto"/>
        <w:jc w:val="both"/>
        <w:rPr>
          <w:strike/>
        </w:rPr>
      </w:pPr>
      <w:r w:rsidRPr="00F44D72">
        <w:rPr>
          <w:strike/>
        </w:rPr>
        <w:t>Poder Executivo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4"/>
        <w:rPr>
          <w:strike/>
        </w:rPr>
      </w:pPr>
      <w:r w:rsidRPr="00F44D72">
        <w:rPr>
          <w:strike/>
        </w:rPr>
        <w:t>II– ÓRGÃOS DA ESTRUTURA ORÇAMENTÁRIA</w:t>
      </w:r>
    </w:p>
    <w:p w:rsidR="00000000" w:rsidRPr="00F44D72" w:rsidRDefault="00801BC9">
      <w:pPr>
        <w:jc w:val="center"/>
        <w:rPr>
          <w:b/>
          <w:i/>
          <w:strike/>
        </w:rPr>
      </w:pPr>
    </w:p>
    <w:p w:rsidR="00000000" w:rsidRPr="00F44D72" w:rsidRDefault="00801BC9">
      <w:pPr>
        <w:jc w:val="center"/>
        <w:rPr>
          <w:b/>
          <w:i/>
          <w:strike/>
        </w:rPr>
      </w:pPr>
      <w:r w:rsidRPr="00F44D72">
        <w:rPr>
          <w:b/>
          <w:i/>
          <w:strike/>
        </w:rPr>
        <w:t>ADMINISTRAÇÃO DIRETA:</w:t>
      </w:r>
    </w:p>
    <w:p w:rsidR="00000000" w:rsidRPr="00F44D72" w:rsidRDefault="00801BC9">
      <w:pPr>
        <w:jc w:val="center"/>
        <w:rPr>
          <w:b/>
          <w:i/>
          <w:strike/>
        </w:rPr>
      </w:pP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Câmara de V</w:t>
      </w:r>
      <w:r w:rsidRPr="00F44D72">
        <w:rPr>
          <w:strike/>
        </w:rPr>
        <w:t>ereadores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Gabinete do Prefeito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Secretaria Municipal de Administração e Fazenda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Secretaria Municipal de Educação, Cultura e Esporte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Secretaria Municipal de Saúde e Bem Estar Social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Secretaria Municipal de Agricultura e Meio Ambiente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 xml:space="preserve">Secretaria Municipal de </w:t>
      </w:r>
      <w:r w:rsidRPr="00F44D72">
        <w:rPr>
          <w:strike/>
        </w:rPr>
        <w:t>Transportes, Obras e Serviços Urbanos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Secretaria Municipal de Indústria, Comércio e Turismo</w:t>
      </w:r>
    </w:p>
    <w:p w:rsidR="00000000" w:rsidRPr="00F44D72" w:rsidRDefault="00801BC9">
      <w:pPr>
        <w:numPr>
          <w:ilvl w:val="0"/>
          <w:numId w:val="3"/>
        </w:numPr>
        <w:spacing w:line="360" w:lineRule="auto"/>
        <w:jc w:val="both"/>
        <w:rPr>
          <w:strike/>
        </w:rPr>
      </w:pPr>
      <w:r w:rsidRPr="00F44D72">
        <w:rPr>
          <w:strike/>
        </w:rPr>
        <w:t>Reserva de Contingência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center"/>
        <w:rPr>
          <w:b/>
          <w:i/>
          <w:strike/>
        </w:rPr>
      </w:pPr>
      <w:r w:rsidRPr="00F44D72">
        <w:rPr>
          <w:b/>
          <w:i/>
          <w:strike/>
        </w:rPr>
        <w:t>ADMINISTRAÇÃO INDIRETA: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numPr>
          <w:ilvl w:val="0"/>
          <w:numId w:val="4"/>
        </w:numPr>
        <w:spacing w:line="360" w:lineRule="auto"/>
        <w:jc w:val="both"/>
        <w:rPr>
          <w:strike/>
        </w:rPr>
      </w:pPr>
      <w:r w:rsidRPr="00F44D72">
        <w:rPr>
          <w:strike/>
        </w:rPr>
        <w:t>Fundo Municipal para Infância e Adolescência</w:t>
      </w:r>
    </w:p>
    <w:p w:rsidR="00000000" w:rsidRPr="00F44D72" w:rsidRDefault="00801BC9">
      <w:pPr>
        <w:numPr>
          <w:ilvl w:val="0"/>
          <w:numId w:val="4"/>
        </w:numPr>
        <w:spacing w:line="360" w:lineRule="auto"/>
        <w:jc w:val="both"/>
        <w:rPr>
          <w:strike/>
        </w:rPr>
      </w:pPr>
      <w:r w:rsidRPr="00F44D72">
        <w:rPr>
          <w:strike/>
        </w:rPr>
        <w:t>Fundo Municipal de Saúde</w:t>
      </w:r>
    </w:p>
    <w:p w:rsidR="00000000" w:rsidRPr="00F44D72" w:rsidRDefault="00801BC9">
      <w:pPr>
        <w:numPr>
          <w:ilvl w:val="0"/>
          <w:numId w:val="4"/>
        </w:numPr>
        <w:spacing w:line="360" w:lineRule="auto"/>
        <w:jc w:val="both"/>
        <w:rPr>
          <w:strike/>
        </w:rPr>
      </w:pPr>
      <w:r w:rsidRPr="00F44D72">
        <w:rPr>
          <w:strike/>
        </w:rPr>
        <w:t>Fundo Municipal de Assistência Social</w:t>
      </w:r>
    </w:p>
    <w:p w:rsidR="00000000" w:rsidRPr="00F44D72" w:rsidRDefault="00801BC9">
      <w:pPr>
        <w:numPr>
          <w:ilvl w:val="0"/>
          <w:numId w:val="4"/>
        </w:numPr>
        <w:spacing w:line="360" w:lineRule="auto"/>
        <w:jc w:val="both"/>
        <w:rPr>
          <w:strike/>
        </w:rPr>
      </w:pPr>
      <w:r w:rsidRPr="00F44D72">
        <w:rPr>
          <w:strike/>
        </w:rPr>
        <w:t>Fundo</w:t>
      </w:r>
      <w:r w:rsidRPr="00F44D72">
        <w:rPr>
          <w:strike/>
        </w:rPr>
        <w:t xml:space="preserve"> Municipal de Educação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4"/>
        <w:rPr>
          <w:strike/>
        </w:rPr>
      </w:pPr>
      <w:r w:rsidRPr="00F44D72">
        <w:rPr>
          <w:strike/>
        </w:rPr>
        <w:t>III- FUNÇÕES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4º</w:t>
      </w:r>
      <w:r w:rsidRPr="00F44D72">
        <w:rPr>
          <w:strike/>
        </w:rPr>
        <w:t xml:space="preserve"> - Para que se caracterize da melhor forma possível as ações de governo na proposta orçamentária, serão utilizadas as funções necessárias constantes da funcional programática de acordo com o anexo 5 da Lei 4.3</w:t>
      </w:r>
      <w:r w:rsidRPr="00F44D72">
        <w:rPr>
          <w:strike/>
        </w:rPr>
        <w:t>20/64.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4"/>
        <w:rPr>
          <w:strike/>
        </w:rPr>
      </w:pPr>
      <w:r w:rsidRPr="00F44D72">
        <w:rPr>
          <w:strike/>
        </w:rPr>
        <w:lastRenderedPageBreak/>
        <w:t>IV- PROGRAMAS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5º</w:t>
      </w:r>
      <w:r w:rsidRPr="00F44D72">
        <w:rPr>
          <w:strike/>
        </w:rPr>
        <w:t xml:space="preserve"> - Para que se caracterize da melhor forma possível a caracterização dos objetivos e uma precisa e perfeita aplicação dos recursos municipais no processo orçamentário, serão utilizados os programas necessários da funcional p</w:t>
      </w:r>
      <w:r w:rsidRPr="00F44D72">
        <w:rPr>
          <w:strike/>
        </w:rPr>
        <w:t>rogramática de acordo com o anexo 5 da Lei 4.320/64.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4"/>
        <w:rPr>
          <w:strike/>
        </w:rPr>
      </w:pPr>
      <w:r w:rsidRPr="00F44D72">
        <w:rPr>
          <w:strike/>
        </w:rPr>
        <w:t>V- SUBPROGRAMAS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6º</w:t>
      </w:r>
      <w:r w:rsidRPr="00F44D72">
        <w:rPr>
          <w:strike/>
        </w:rPr>
        <w:t xml:space="preserve"> - Para que se caracterize da melhor forma possível a caracterização da despesa dentro de cada unidade orçamentária, serão utilizados os subprogramas constantes da funcional pr</w:t>
      </w:r>
      <w:r w:rsidRPr="00F44D72">
        <w:rPr>
          <w:strike/>
        </w:rPr>
        <w:t>ogramática , com o objetivo de uma classificação mais precisa possível da despesa orçamentária.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4"/>
        <w:rPr>
          <w:strike/>
        </w:rPr>
      </w:pPr>
      <w:r w:rsidRPr="00F44D72">
        <w:rPr>
          <w:strike/>
        </w:rPr>
        <w:t>VI - PROJETOS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7º</w:t>
      </w:r>
      <w:r w:rsidRPr="00F44D72">
        <w:rPr>
          <w:strike/>
        </w:rPr>
        <w:t xml:space="preserve"> - Os Projetos que farão parte da proposta orçamentária para o exercício de 2001, serão os que foram previamente aprovados no plano plu</w:t>
      </w:r>
      <w:r w:rsidRPr="00F44D72">
        <w:rPr>
          <w:strike/>
        </w:rPr>
        <w:t>rianual de investimentos em vigor e será um instrumento de programação para alcançar o objetivo de um programa, envolvendo um conjunto de operações limitadas no tempo, das quais resulta um produto que concorre para a expansão ou o aperfeiçoamento da ação d</w:t>
      </w:r>
      <w:r w:rsidRPr="00F44D72">
        <w:rPr>
          <w:strike/>
        </w:rPr>
        <w:t>o governo municipal.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4"/>
        <w:rPr>
          <w:strike/>
        </w:rPr>
      </w:pPr>
      <w:r w:rsidRPr="00F44D72">
        <w:rPr>
          <w:strike/>
        </w:rPr>
        <w:t>VII - ATIVIDADES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8º</w:t>
      </w:r>
      <w:r w:rsidRPr="00F44D72">
        <w:rPr>
          <w:strike/>
        </w:rPr>
        <w:t xml:space="preserve"> - As atividades que farão parte da proposta orçamentária para o exercício de 2001, serão para manutenção das unidades orçamentárias de acordo com a estrutura do Município e as mesmas deverão ser realizadas </w:t>
      </w:r>
      <w:r w:rsidRPr="00F44D72">
        <w:rPr>
          <w:strike/>
        </w:rPr>
        <w:t>de forma contínua e permanente cujo produto final será a manutenção das ações governamental.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Recuodecorpodetexto2"/>
        <w:rPr>
          <w:strike/>
        </w:rPr>
      </w:pPr>
    </w:p>
    <w:p w:rsidR="00000000" w:rsidRPr="00F44D72" w:rsidRDefault="00801BC9">
      <w:pPr>
        <w:pStyle w:val="Recuodecorpodetexto2"/>
        <w:jc w:val="center"/>
        <w:rPr>
          <w:i/>
          <w:strike/>
        </w:rPr>
      </w:pPr>
      <w:r w:rsidRPr="00F44D72">
        <w:rPr>
          <w:i/>
          <w:strike/>
        </w:rPr>
        <w:t>III – DAS DIRETRIZES PARA A ELABORAÇÃO E A EXECUÇÃO DOS ORÇAMENTOS DO MUNICÍPIO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9º</w:t>
      </w:r>
      <w:r w:rsidRPr="00F44D72">
        <w:rPr>
          <w:strike/>
        </w:rPr>
        <w:t xml:space="preserve"> - O orçamento para o exercício de 2002 obedecerá ao princípio da tran</w:t>
      </w:r>
      <w:r w:rsidRPr="00F44D72">
        <w:rPr>
          <w:strike/>
        </w:rPr>
        <w:t>sparência e do equilíbrio das contas públicas, abrangendo os Poderes Legislativo, Executivo, seus fundos. (ART. 1º, § 1º e ART. 4º, I, “a” da LRF).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Art. 10 </w:t>
      </w:r>
      <w:r w:rsidRPr="00F44D72">
        <w:rPr>
          <w:strike/>
        </w:rPr>
        <w:t>- Os estudos para definição do Orçamento da Receita para 2002 deverá observar as alterações da le</w:t>
      </w:r>
      <w:r w:rsidRPr="00F44D72">
        <w:rPr>
          <w:strike/>
        </w:rPr>
        <w:t>gislação tributária, incentivos fiscais autorizados, a inflação do período, o crescimento econômico, a valorização imobiliária e a  evolução da receita nos últimos três exercícios.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11</w:t>
      </w:r>
      <w:r w:rsidRPr="00F44D72">
        <w:rPr>
          <w:strike/>
        </w:rPr>
        <w:t xml:space="preserve"> - Se a receita estimada para 2002, comprovadamente, não atender </w:t>
      </w:r>
      <w:r w:rsidRPr="00F44D72">
        <w:rPr>
          <w:strike/>
        </w:rPr>
        <w:t>ao disposto no artigo anterior, o Legislativo, mediante autorização do Executivo,quando da análise da Proposta Orçamentária, poderá reestimá-la, ou solicitar do Executivo Municipal a sua alteração e a conseqüente adequação do orçamento da despesa.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Art. </w:t>
      </w:r>
      <w:r w:rsidRPr="00F44D72">
        <w:rPr>
          <w:b/>
          <w:strike/>
        </w:rPr>
        <w:t>12</w:t>
      </w:r>
      <w:r w:rsidRPr="00F44D72">
        <w:rPr>
          <w:strike/>
        </w:rPr>
        <w:t xml:space="preserve"> – Na execução do orçamento, verificado que o comportamento da receita poderá afetar o cumprimento das metas estabelecidas, os Poderes Legislativo e Executivo, de forma proporcional as suas dotações, adotarão o mecanismo da limitação de empenhos no monta</w:t>
      </w:r>
      <w:r w:rsidRPr="00F44D72">
        <w:rPr>
          <w:strike/>
        </w:rPr>
        <w:t>nte necessário, para as seguintes despesas abaixo: (ART. 9º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lastRenderedPageBreak/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I </w:t>
      </w:r>
      <w:r w:rsidRPr="00F44D72">
        <w:rPr>
          <w:strike/>
        </w:rPr>
        <w:t>– eliminação de possíveis vantagens concedidas a servidores;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II</w:t>
      </w:r>
      <w:r w:rsidRPr="00F44D72">
        <w:rPr>
          <w:strike/>
        </w:rPr>
        <w:t xml:space="preserve"> – eliminação de despesas com horas extras;</w:t>
      </w:r>
    </w:p>
    <w:p w:rsidR="00000000" w:rsidRPr="00F44D72" w:rsidRDefault="00801BC9">
      <w:pPr>
        <w:spacing w:line="360" w:lineRule="auto"/>
        <w:ind w:firstLine="2124"/>
        <w:jc w:val="both"/>
        <w:rPr>
          <w:strike/>
        </w:rPr>
      </w:pPr>
      <w:r w:rsidRPr="00F44D72">
        <w:rPr>
          <w:b/>
          <w:strike/>
        </w:rPr>
        <w:t>III</w:t>
      </w:r>
      <w:r w:rsidRPr="00F44D72">
        <w:rPr>
          <w:strike/>
        </w:rPr>
        <w:t xml:space="preserve"> – redução de 20% dos gastos com combustíveis para a frota de veículos</w:t>
      </w:r>
      <w:r w:rsidRPr="00F44D72">
        <w:rPr>
          <w:strike/>
        </w:rPr>
        <w:t xml:space="preserve"> dos setores de transportes, obras, serviços públicos e agricultura; e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IV</w:t>
      </w:r>
      <w:r w:rsidRPr="00F44D72">
        <w:rPr>
          <w:strike/>
        </w:rPr>
        <w:t xml:space="preserve"> – redução dos investimentos programados.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13</w:t>
      </w:r>
      <w:r w:rsidRPr="00F44D72">
        <w:rPr>
          <w:strike/>
        </w:rPr>
        <w:t xml:space="preserve"> – A expansão das despesas obrigatórias, de caráter continuado, deverão ter dotações orçamentárias suficientes, e sua expansão </w:t>
      </w:r>
      <w:r w:rsidRPr="00F44D72">
        <w:rPr>
          <w:strike/>
        </w:rPr>
        <w:t>será de acordo com os respectivos contratos. (ART. 4º LRF)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14 –</w:t>
      </w:r>
      <w:r w:rsidRPr="00F44D72">
        <w:rPr>
          <w:strike/>
        </w:rPr>
        <w:t xml:space="preserve"> Constituem riscos fiscais capazes de afetar o equilíbrio das contas públicas do Município, os processos de Desapropriação de imóveis, Intempéries, despesas de manutenção da estrutura a</w:t>
      </w:r>
      <w:r w:rsidRPr="00F44D72">
        <w:rPr>
          <w:strike/>
        </w:rPr>
        <w:t xml:space="preserve">dministrativa orçada a menor ou não orçada, aposentadoria e pensões precoces. </w:t>
      </w:r>
      <w:r w:rsidRPr="00F44D72">
        <w:rPr>
          <w:strike/>
          <w:lang w:val="en-US"/>
        </w:rPr>
        <w:t>(ART. 4º, § 3º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§ 1º</w:t>
      </w:r>
      <w:r w:rsidRPr="00F44D72">
        <w:rPr>
          <w:strike/>
        </w:rPr>
        <w:t xml:space="preserve"> - Os riscos fiscais, caso se concretizem, serão atendidos com recursos da Reserva de Contingência, do excesso de arrecadação e do superávit finance</w:t>
      </w:r>
      <w:r w:rsidRPr="00F44D72">
        <w:rPr>
          <w:strike/>
        </w:rPr>
        <w:t>iro do exercício de 2001.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§ 2º</w:t>
      </w:r>
      <w:r w:rsidRPr="00F44D72">
        <w:rPr>
          <w:strike/>
        </w:rPr>
        <w:t xml:space="preserve"> - Sendo estes recursos insuficientes, o Executivo Municipal encaminhará Projeto de Lei à Câmara, propondo a anulação de recursos alocados para investimentos, desde que não vinculados ou já comprometidos.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15</w:t>
      </w:r>
      <w:r w:rsidRPr="00F44D72">
        <w:rPr>
          <w:strike/>
        </w:rPr>
        <w:t xml:space="preserve"> – O orç</w:t>
      </w:r>
      <w:r w:rsidRPr="00F44D72">
        <w:rPr>
          <w:strike/>
        </w:rPr>
        <w:t>amento para o exercício de 2002, de cada uma das unidades gestoras contemplará recursos para a Reserva de Contingência, limitados a 10% da Receita Corrente Líquida prevista, destinada a atender os passivos contingentes e outros riscos e eventos fiscais imp</w:t>
      </w:r>
      <w:r w:rsidRPr="00F44D72">
        <w:rPr>
          <w:strike/>
        </w:rPr>
        <w:t xml:space="preserve">revistos.  </w:t>
      </w:r>
      <w:r w:rsidRPr="00F44D72">
        <w:rPr>
          <w:strike/>
          <w:lang w:val="en-US"/>
        </w:rPr>
        <w:t>(ART. 5º, III “d” da LRF)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Art. 16</w:t>
      </w:r>
      <w:r w:rsidRPr="00F44D72">
        <w:rPr>
          <w:strike/>
        </w:rPr>
        <w:t xml:space="preserve"> – Os investimentos com duração superior a 12 (doze) meses só constarão da Lei Orçamentária Anual se contemplados no Plano Plurianual. </w:t>
      </w:r>
      <w:r w:rsidRPr="00F44D72">
        <w:rPr>
          <w:strike/>
          <w:lang w:val="en-US"/>
        </w:rPr>
        <w:t>(Art. 5º, § 5º da LRF).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Art. 17</w:t>
      </w:r>
      <w:r w:rsidRPr="00F44D72">
        <w:rPr>
          <w:strike/>
        </w:rPr>
        <w:t xml:space="preserve"> – Os projetos e atividades com dotações</w:t>
      </w:r>
      <w:r w:rsidRPr="00F44D72">
        <w:rPr>
          <w:strike/>
        </w:rPr>
        <w:t xml:space="preserve"> vinculadas a recursos de convênios, operações de crédito e outros, só serão executados e utilizados se ocorrer o seu ingresso no fluxo de caixa. (ART. 8º, § único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Parágrafo 1º </w:t>
      </w:r>
      <w:r w:rsidRPr="00F44D72">
        <w:rPr>
          <w:strike/>
        </w:rPr>
        <w:t>– Os recursos vinculados, oriundos de convênios e operações de crédi</w:t>
      </w:r>
      <w:r w:rsidRPr="00F44D72">
        <w:rPr>
          <w:strike/>
        </w:rPr>
        <w:t>to, não serão considerados na apuração do excesso de arrecadação para fins de abertura de créditos adicionais suplementares ou especiais.</w:t>
      </w:r>
    </w:p>
    <w:p w:rsidR="00000000" w:rsidRPr="00F44D72" w:rsidRDefault="00801BC9">
      <w:pPr>
        <w:pStyle w:val="Ttulo8"/>
        <w:rPr>
          <w:b w:val="0"/>
          <w:strike/>
          <w:sz w:val="20"/>
        </w:rPr>
      </w:pPr>
      <w:r w:rsidRPr="00F44D72">
        <w:rPr>
          <w:strike/>
          <w:sz w:val="20"/>
        </w:rPr>
        <w:t xml:space="preserve">Parágrafo 2º -  </w:t>
      </w:r>
      <w:r w:rsidRPr="00F44D72">
        <w:rPr>
          <w:b w:val="0"/>
          <w:strike/>
          <w:sz w:val="20"/>
        </w:rPr>
        <w:t>Os recursos de convênios não previstos nos orçamentos da receita, ou o seu excesso de arrecadação, pod</w:t>
      </w:r>
      <w:r w:rsidRPr="00F44D72">
        <w:rPr>
          <w:b w:val="0"/>
          <w:strike/>
          <w:sz w:val="20"/>
        </w:rPr>
        <w:t>erão ser utilizados como fonte de recursos para abertura de crédito suplementar ou especial.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18</w:t>
      </w:r>
      <w:r w:rsidRPr="00F44D72">
        <w:rPr>
          <w:strike/>
        </w:rPr>
        <w:t xml:space="preserve"> – Como renúncia de receita, estimada para o exercício financeiro de 2002, será considerado o desconto de 20% para o pagamento à vista do IPTU e serão co</w:t>
      </w:r>
      <w:r w:rsidRPr="00F44D72">
        <w:rPr>
          <w:strike/>
        </w:rPr>
        <w:t>nsideradas para efeito de cálculo do orçamento da receita. (ART. 4º, § 2º, V e ART. 14, I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19</w:t>
      </w:r>
      <w:r w:rsidRPr="00F44D72">
        <w:rPr>
          <w:strike/>
        </w:rPr>
        <w:t xml:space="preserve"> – A transferência de recursos do Tesouro Municipal a entidades, beneficiará somente aquelas de caráter educativo, assistencial, filantrópicas e de </w:t>
      </w:r>
      <w:r w:rsidRPr="00F44D72">
        <w:rPr>
          <w:strike/>
        </w:rPr>
        <w:t>cooperação técnica.(ART. 4º, I, “f”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Parágrafo único</w:t>
      </w:r>
      <w:r w:rsidRPr="00F44D72">
        <w:rPr>
          <w:strike/>
        </w:rPr>
        <w:t xml:space="preserve"> – Não se aplica o disposto neste artigo, as contribuições estatutárias devidas as entidades municipalistas, em que o Município for associado.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lastRenderedPageBreak/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20</w:t>
      </w:r>
      <w:r w:rsidRPr="00F44D72">
        <w:rPr>
          <w:strike/>
        </w:rPr>
        <w:t xml:space="preserve"> – Para efeito do disposto no Art. 16, §</w:t>
      </w:r>
      <w:r w:rsidRPr="00F44D72">
        <w:rPr>
          <w:strike/>
        </w:rPr>
        <w:t xml:space="preserve"> 3º da Lei de Responsabilidade Fiscal, são consideradas despesas irrelevantes, aquelas decorrentes de ação governamental nova, cujo impacto orçamentário-financeiro num exercício não excedam o valor para dispensa de licitação fixado no item I do Art. 24 da </w:t>
      </w:r>
      <w:r w:rsidRPr="00F44D72">
        <w:rPr>
          <w:strike/>
        </w:rPr>
        <w:t>Lei 8.666/93, devidamente atualizado. (ART. 16, § 3º)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21</w:t>
      </w:r>
      <w:r w:rsidRPr="00F44D72">
        <w:rPr>
          <w:strike/>
        </w:rPr>
        <w:t xml:space="preserve"> – Nenhum projeto novo poderá ser incluído no orçamento, sem antes ter assegurado recursos suficientes para obras ou etapa de obras em andamento e para conservação do patrimônio público, salvo</w:t>
      </w:r>
      <w:r w:rsidRPr="00F44D72">
        <w:rPr>
          <w:strike/>
        </w:rPr>
        <w:t xml:space="preserve"> projetos programados com recursos de convênios e operações de crédito. </w:t>
      </w:r>
      <w:r w:rsidRPr="00F44D72">
        <w:rPr>
          <w:strike/>
          <w:lang w:val="en-US"/>
        </w:rPr>
        <w:t>(ART. 45 da LRF)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Art. 22</w:t>
      </w:r>
      <w:r w:rsidRPr="00F44D72">
        <w:rPr>
          <w:strike/>
        </w:rPr>
        <w:t xml:space="preserve"> – Despesas de custeio de competência de outros entes da Federação só serão assumidas pela Administração Municipal quando firmados por convênios, acordos ou </w:t>
      </w:r>
      <w:r w:rsidRPr="00F44D72">
        <w:rPr>
          <w:strike/>
        </w:rPr>
        <w:t xml:space="preserve">ajustes e previstos recursos na lei orçamentária. </w:t>
      </w:r>
      <w:r w:rsidRPr="00F44D72">
        <w:rPr>
          <w:strike/>
          <w:lang w:val="en-US"/>
        </w:rPr>
        <w:t>(ART. 62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Art. 23</w:t>
      </w:r>
      <w:r w:rsidRPr="00F44D72">
        <w:rPr>
          <w:strike/>
        </w:rPr>
        <w:t xml:space="preserve"> – A previsão das receitas e a fixação das despesas serão orçadas para 2002 a preços correntes.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24</w:t>
      </w:r>
      <w:r w:rsidRPr="00F44D72">
        <w:rPr>
          <w:strike/>
        </w:rPr>
        <w:t xml:space="preserve"> – A lei orçamentária para 2002 poderá autorizar o Executivo Municipal a </w:t>
      </w:r>
      <w:r w:rsidRPr="00F44D72">
        <w:rPr>
          <w:strike/>
        </w:rPr>
        <w:t>remanejar, mediante autorização Legislativa, o saldo das dotações dos elementos ou sub-elemento de despesa que o compõem.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25</w:t>
      </w:r>
      <w:r w:rsidRPr="00F44D72">
        <w:rPr>
          <w:strike/>
        </w:rPr>
        <w:t xml:space="preserve"> – Durante a execução orçamentária de 2002, o Executivo Municipal, autorizado por lei, poderá incluir novos projetos ou ativ</w:t>
      </w:r>
      <w:r w:rsidRPr="00F44D72">
        <w:rPr>
          <w:strike/>
        </w:rPr>
        <w:t>idades no orçamento das unidades gestoras, na forma de crédito especial, desde que se enquadre nas prioridades para o exercício, constantes do Anexo I e II  desta lei e alterações posteriores.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26</w:t>
      </w:r>
      <w:r w:rsidRPr="00F44D72">
        <w:rPr>
          <w:strike/>
        </w:rPr>
        <w:t xml:space="preserve"> – As despesas com Educação não poderão ser inferior </w:t>
      </w:r>
      <w:r w:rsidRPr="00F44D72">
        <w:rPr>
          <w:strike/>
        </w:rPr>
        <w:t>a 25% da Receita Corrente Líquida do exercício a que se referem, sendo que as despesas com profissionais da educação, amparadas pela Lei de Diretrizes e Bases da Educação, obedecerão os limites mínimos de 60% previsto na Lei 9.424.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27</w:t>
      </w:r>
      <w:r w:rsidRPr="00F44D72">
        <w:rPr>
          <w:strike/>
        </w:rPr>
        <w:t xml:space="preserve"> – As despesas</w:t>
      </w:r>
      <w:r w:rsidRPr="00F44D72">
        <w:rPr>
          <w:strike/>
        </w:rPr>
        <w:t xml:space="preserve"> com Saúde não poderão ser inferior a 11% da Receita Corrente Líquida no exercício de 2002, conforme Emenda Constitucional  Nº 20.</w:t>
      </w:r>
    </w:p>
    <w:p w:rsidR="00000000" w:rsidRPr="00F44D72" w:rsidRDefault="00801BC9">
      <w:pPr>
        <w:pStyle w:val="Ttulo1"/>
        <w:rPr>
          <w:strike/>
        </w:rPr>
      </w:pPr>
    </w:p>
    <w:p w:rsidR="00000000" w:rsidRPr="00F44D72" w:rsidRDefault="00801BC9">
      <w:pPr>
        <w:rPr>
          <w:strike/>
        </w:rPr>
      </w:pPr>
    </w:p>
    <w:p w:rsidR="00000000" w:rsidRPr="00F44D72" w:rsidRDefault="00801BC9">
      <w:pPr>
        <w:pStyle w:val="Ttulo1"/>
        <w:jc w:val="center"/>
        <w:rPr>
          <w:strike/>
        </w:rPr>
      </w:pPr>
      <w:r w:rsidRPr="00F44D72">
        <w:rPr>
          <w:strike/>
        </w:rPr>
        <w:t>IV – DAS DISPOSIÇÕES SOBRE A DÍVIDA PÚBLICA MUNICIPAL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28 –</w:t>
      </w:r>
      <w:r w:rsidRPr="00F44D72">
        <w:rPr>
          <w:strike/>
        </w:rPr>
        <w:t xml:space="preserve"> Obedecidos os limites estabelecidos em Lei Complementar</w:t>
      </w:r>
      <w:r w:rsidRPr="00F44D72">
        <w:rPr>
          <w:strike/>
        </w:rPr>
        <w:t xml:space="preserve"> Federal, e a capacidade de endividamento, o Município poderá realizar operações de crédito ao longo do exercício de 2002, destinado a financiar despesas de capital previstas no orçamento, as quais deverão constar na proposta orçamentária e autorizadas por</w:t>
      </w:r>
      <w:r w:rsidRPr="00F44D72">
        <w:rPr>
          <w:strike/>
        </w:rPr>
        <w:t xml:space="preserve"> lei específicas.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29</w:t>
      </w:r>
      <w:r w:rsidRPr="00F44D72">
        <w:rPr>
          <w:strike/>
        </w:rPr>
        <w:t xml:space="preserve"> – De acordo com o que determina o art. 35 da Lei de Responsabilidade Fiscal, fica expressamente proibida a realização de operações de crédito entre entes da federação.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30</w:t>
      </w:r>
      <w:r w:rsidRPr="00F44D72">
        <w:rPr>
          <w:strike/>
        </w:rPr>
        <w:t xml:space="preserve"> – A verificação dos limites da dívida pública se</w:t>
      </w:r>
      <w:r w:rsidRPr="00F44D72">
        <w:rPr>
          <w:strike/>
        </w:rPr>
        <w:t>rão feitas na forma e nos prazos estabelecidos da Lei de Responsabilidade Fiscal, observado o disposto na Resolução nº 78/98 do Senado Federal.</w:t>
      </w:r>
    </w:p>
    <w:p w:rsidR="00000000" w:rsidRPr="00F44D72" w:rsidRDefault="00801BC9">
      <w:pPr>
        <w:pStyle w:val="Ttulo2"/>
        <w:jc w:val="both"/>
        <w:rPr>
          <w:strike/>
        </w:rPr>
      </w:pPr>
    </w:p>
    <w:p w:rsidR="00000000" w:rsidRPr="00F44D72" w:rsidRDefault="00801BC9">
      <w:pPr>
        <w:pStyle w:val="Ttulo2"/>
        <w:jc w:val="center"/>
        <w:rPr>
          <w:i/>
          <w:strike/>
        </w:rPr>
      </w:pPr>
      <w:r w:rsidRPr="00F44D72">
        <w:rPr>
          <w:i/>
          <w:strike/>
        </w:rPr>
        <w:t>V – DAS DISPOSIÇÕES SOBRE DESPESAS COM PESSOAL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lastRenderedPageBreak/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31</w:t>
      </w:r>
      <w:r w:rsidRPr="00F44D72">
        <w:rPr>
          <w:strike/>
        </w:rPr>
        <w:t xml:space="preserve"> – O Executivo Municipal, mediante lei autorizativa, </w:t>
      </w:r>
      <w:r w:rsidRPr="00F44D72">
        <w:rPr>
          <w:strike/>
        </w:rPr>
        <w:t>poderá criar cargos e funções, alterar a estrutura de carreiras, corrigir ou aumentar a remuneração dos servidores, conceder vantagens, admitir pessoal aprovado em concurso público ou em caráter temporário na forma da lei, observados os limites e as regras</w:t>
      </w:r>
      <w:r w:rsidRPr="00F44D72">
        <w:rPr>
          <w:strike/>
        </w:rPr>
        <w:t xml:space="preserve"> da Lei de Responsabilidade Fiscal. (ART. 169, parágrafo 1º, II da CF)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Parágrafo único</w:t>
      </w:r>
      <w:r w:rsidRPr="00F44D72">
        <w:rPr>
          <w:strike/>
        </w:rPr>
        <w:t xml:space="preserve"> – Os recursos para as despesas decorrentes destes atos deverão estar previstos no orçamento.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Art. 32 </w:t>
      </w:r>
      <w:r w:rsidRPr="00F44D72">
        <w:rPr>
          <w:strike/>
        </w:rPr>
        <w:t>– A despesa total com pessoal dos Poderes Executivo e Legislat</w:t>
      </w:r>
      <w:r w:rsidRPr="00F44D72">
        <w:rPr>
          <w:strike/>
        </w:rPr>
        <w:t xml:space="preserve">ivo não excederá em percentual da Receita Corrente Líquida, a despesa verificada no exercício de 1999, acrescida de até 10%, obedecido os limites prudenciais de 51,30% e 5,70% da Receita Corrente Líquida, respectivamente. </w:t>
      </w:r>
      <w:r w:rsidRPr="00F44D72">
        <w:rPr>
          <w:strike/>
          <w:lang w:val="en-US"/>
        </w:rPr>
        <w:t>(ART. 71 da LRF)</w:t>
      </w:r>
    </w:p>
    <w:p w:rsidR="00000000" w:rsidRPr="00F44D72" w:rsidRDefault="00801BC9">
      <w:pPr>
        <w:spacing w:line="360" w:lineRule="auto"/>
        <w:ind w:firstLine="708"/>
        <w:jc w:val="both"/>
        <w:rPr>
          <w:strike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Art. 33</w:t>
      </w:r>
      <w:r w:rsidRPr="00F44D72">
        <w:rPr>
          <w:strike/>
        </w:rPr>
        <w:t xml:space="preserve"> – Nos c</w:t>
      </w:r>
      <w:r w:rsidRPr="00F44D72">
        <w:rPr>
          <w:strike/>
        </w:rPr>
        <w:t>asos de necessidade temporária, de excepcional interesse público, devidamente justificado pela autoridade competente, a Administração Municipal poderá autorizar a realização de horas extras pelos servidores, quando as despesas com pessoal excederem a 95% d</w:t>
      </w:r>
      <w:r w:rsidRPr="00F44D72">
        <w:rPr>
          <w:strike/>
        </w:rPr>
        <w:t>o limite estabelecido no Art. 20, III da Lei de Responsabilidade Fiscal. (ART. 22, § único, V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34 –</w:t>
      </w:r>
      <w:r w:rsidRPr="00F44D72">
        <w:rPr>
          <w:strike/>
        </w:rPr>
        <w:t xml:space="preserve"> O Executivo Municipal adotará as seguintes medidas para reduzir as despesas com pessoal caso elas ultrapassem os limites estabelecidos na Lei</w:t>
      </w:r>
      <w:r w:rsidRPr="00F44D72">
        <w:rPr>
          <w:strike/>
        </w:rPr>
        <w:t xml:space="preserve"> de Responsabilidade Fiscal. (ART. 19 e 20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b/>
          <w:strike/>
        </w:rPr>
        <w:tab/>
      </w:r>
      <w:r w:rsidRPr="00F44D72">
        <w:rPr>
          <w:b/>
          <w:strike/>
        </w:rPr>
        <w:tab/>
      </w:r>
      <w:r w:rsidRPr="00F44D72">
        <w:rPr>
          <w:b/>
          <w:strike/>
        </w:rPr>
        <w:tab/>
        <w:t>I</w:t>
      </w:r>
      <w:r w:rsidRPr="00F44D72">
        <w:rPr>
          <w:strike/>
        </w:rPr>
        <w:t xml:space="preserve"> – eliminação de vantagens concedidas a servidores;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II –</w:t>
      </w:r>
      <w:r w:rsidRPr="00F44D72">
        <w:rPr>
          <w:strike/>
        </w:rPr>
        <w:t xml:space="preserve"> eliminação das despesas com horas extras.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III</w:t>
      </w:r>
      <w:r w:rsidRPr="00F44D72">
        <w:rPr>
          <w:strike/>
        </w:rPr>
        <w:t xml:space="preserve"> – exoneração de servidores ocupantes de cargo em comissão;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IV</w:t>
      </w:r>
      <w:r w:rsidRPr="00F44D72">
        <w:rPr>
          <w:strike/>
        </w:rPr>
        <w:t xml:space="preserve"> – demissão de servidores ad</w:t>
      </w:r>
      <w:r w:rsidRPr="00F44D72">
        <w:rPr>
          <w:strike/>
        </w:rPr>
        <w:t>mitidos em caráter temporário.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35</w:t>
      </w:r>
      <w:r w:rsidRPr="00F44D72">
        <w:rPr>
          <w:strike/>
        </w:rPr>
        <w:t xml:space="preserve"> – Os contratos de terceirização de mão-de-obra que se referirem a substituição de servidores e empregados públicos, serão contabilizados como “outras despesas de pessoal”, sub-elemento do elemento de despesa 3.1.3.</w:t>
      </w:r>
      <w:r w:rsidRPr="00F44D72">
        <w:rPr>
          <w:strike/>
        </w:rPr>
        <w:t>0 – Serviços de Terceiros e Encargos.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Parágrafo único </w:t>
      </w:r>
      <w:r w:rsidRPr="00F44D72">
        <w:rPr>
          <w:strike/>
        </w:rPr>
        <w:t>– Para efeito do disposto neste Artigo, entende-se como terceirização de mão-de-obra, a contratação de pessoal para o exercício exclusivo de atividades ou funções constantes do Plano de Cargos da Adm</w:t>
      </w:r>
      <w:r w:rsidRPr="00F44D72">
        <w:rPr>
          <w:strike/>
        </w:rPr>
        <w:t>inistração Municipal de Bom Retiro e que não envolva a utilização de materiais ou equipamentos de propriedade do contratado ou de terceiros.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Art. 36 </w:t>
      </w:r>
      <w:r w:rsidRPr="00F44D72">
        <w:rPr>
          <w:strike/>
        </w:rPr>
        <w:t>– A verificação dos limites das despesas com pessoal serão feitas  na forma estabelecida da Lei de Respo</w:t>
      </w:r>
      <w:r w:rsidRPr="00F44D72">
        <w:rPr>
          <w:strike/>
        </w:rPr>
        <w:t>nsabilidade Fiscal.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1"/>
        <w:jc w:val="center"/>
        <w:rPr>
          <w:i/>
          <w:strike/>
        </w:rPr>
      </w:pPr>
      <w:r w:rsidRPr="00F44D72">
        <w:rPr>
          <w:i/>
          <w:strike/>
        </w:rPr>
        <w:t>VI – DAS DISPOSIÇÕES SOBRE ALTERAÇÃO DA LEGISLAÇÃO TRIBUTÁRIA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ab/>
        <w:t>Art. 37</w:t>
      </w:r>
      <w:r w:rsidRPr="00F44D72">
        <w:rPr>
          <w:strike/>
        </w:rPr>
        <w:t xml:space="preserve"> – O Executivo Municipal, autorizado em lei, poderá conceder benefícios fiscais aos contribuintes, devendo, nestes casos, serem considerados nos cálculos do orça</w:t>
      </w:r>
      <w:r w:rsidRPr="00F44D72">
        <w:rPr>
          <w:strike/>
        </w:rPr>
        <w:t xml:space="preserve">mento da receita, apresentando estudos do seu impacto e atender ao disposto no Art. 14 da Lei de Responsabilidade Fiscal. </w:t>
      </w:r>
      <w:r w:rsidRPr="00F44D72">
        <w:rPr>
          <w:strike/>
          <w:lang w:val="en-US"/>
        </w:rPr>
        <w:t>(ART. 14 da LRF)</w:t>
      </w:r>
    </w:p>
    <w:p w:rsidR="00000000" w:rsidRPr="00F44D72" w:rsidRDefault="00801BC9">
      <w:pPr>
        <w:spacing w:line="360" w:lineRule="auto"/>
        <w:jc w:val="both"/>
        <w:rPr>
          <w:strike/>
          <w:lang w:val="en-US"/>
        </w:rPr>
      </w:pP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 xml:space="preserve">Art. 38 </w:t>
      </w:r>
      <w:r w:rsidRPr="00F44D72">
        <w:rPr>
          <w:strike/>
        </w:rPr>
        <w:t>– Os tributos lançados e não arrecadados, inscritos em dívida ativa, cujos custos para cobrança sejam supe</w:t>
      </w:r>
      <w:r w:rsidRPr="00F44D72">
        <w:rPr>
          <w:strike/>
        </w:rPr>
        <w:t xml:space="preserve">riores ao crédito tributário, poderão ser cancelados, mediante autorização em lei, não se constituindo como renúncia de receita para efeito do disposto no Art. 14 da Lei de Responsabilidade Fiscal. </w:t>
      </w:r>
      <w:r w:rsidRPr="00F44D72">
        <w:rPr>
          <w:strike/>
          <w:lang w:val="en-US"/>
        </w:rPr>
        <w:t>(ART. 14, § 3º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  <w:lang w:val="en-US"/>
        </w:rPr>
        <w:lastRenderedPageBreak/>
        <w:tab/>
      </w:r>
      <w:r w:rsidRPr="00F44D72">
        <w:rPr>
          <w:strike/>
          <w:lang w:val="en-US"/>
        </w:rPr>
        <w:tab/>
      </w:r>
      <w:r w:rsidRPr="00F44D72">
        <w:rPr>
          <w:strike/>
          <w:lang w:val="en-US"/>
        </w:rPr>
        <w:tab/>
      </w:r>
      <w:r w:rsidRPr="00F44D72">
        <w:rPr>
          <w:b/>
          <w:strike/>
        </w:rPr>
        <w:t>Art. 39</w:t>
      </w:r>
      <w:r w:rsidRPr="00F44D72">
        <w:rPr>
          <w:strike/>
        </w:rPr>
        <w:t xml:space="preserve"> – O ato que conceder ou </w:t>
      </w:r>
      <w:r w:rsidRPr="00F44D72">
        <w:rPr>
          <w:strike/>
        </w:rPr>
        <w:t>ampliar incentivo, isenção ou benefício de natureza tributária ou financeira, somente entrará em vigor após adoção de medidas de compensação, se for o caso.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40</w:t>
      </w:r>
      <w:r w:rsidRPr="00F44D72">
        <w:rPr>
          <w:strike/>
        </w:rPr>
        <w:t xml:space="preserve"> – O poder Executivo Municipal poderá encaminhar ao Legislativo, até três meses antes do </w:t>
      </w:r>
      <w:r w:rsidRPr="00F44D72">
        <w:rPr>
          <w:strike/>
        </w:rPr>
        <w:t>atual exercício, projeto de lei dispondo sobre mudanças no Código Tributário.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pStyle w:val="Ttulo1"/>
        <w:jc w:val="center"/>
        <w:rPr>
          <w:i/>
          <w:strike/>
        </w:rPr>
      </w:pPr>
      <w:r w:rsidRPr="00F44D72">
        <w:rPr>
          <w:i/>
          <w:strike/>
        </w:rPr>
        <w:t>VII – DAS DISPOSIÇÕES GERAIS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41</w:t>
      </w:r>
      <w:r w:rsidRPr="00F44D72">
        <w:rPr>
          <w:strike/>
        </w:rPr>
        <w:t xml:space="preserve"> – Ocorrendo  assistência pela União prevista no Art. 64, da Lei de Responsabilidade Fiscal, o Município deverá se estruturar para: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</w:t>
      </w:r>
      <w:r w:rsidRPr="00F44D72">
        <w:rPr>
          <w:b/>
          <w:strike/>
        </w:rPr>
        <w:t xml:space="preserve"> </w:t>
      </w:r>
      <w:r w:rsidRPr="00F44D72">
        <w:rPr>
          <w:strike/>
        </w:rPr>
        <w:t>– até o exercício de 2005, obrigatoriamente, encaminhar junto com a Lei de Diretrizes Orçamentárias, o Anexo de Metas Fiscais para o triênio seguinte e o Anexo de Riscos Fiscais na forma prevista na Lei de Responsabilidade Fiscal - LRF;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II –</w:t>
      </w:r>
      <w:r w:rsidRPr="00F44D72">
        <w:rPr>
          <w:strike/>
        </w:rPr>
        <w:t xml:space="preserve"> até o exer</w:t>
      </w:r>
      <w:r w:rsidRPr="00F44D72">
        <w:rPr>
          <w:strike/>
        </w:rPr>
        <w:t>cício de 2005, obrigatoriamente, elaborar os Demonstrativos do Relatório Resumido da Execução Orçamentária e Relatório de Gestão Fiscal, conforme disposto na Lei de Responsabilidade Fiscal;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III –</w:t>
      </w:r>
      <w:r w:rsidRPr="00F44D72">
        <w:rPr>
          <w:strike/>
        </w:rPr>
        <w:t xml:space="preserve"> até o exercício de 2005, obrigatoriamente, implantar sist</w:t>
      </w:r>
      <w:r w:rsidRPr="00F44D72">
        <w:rPr>
          <w:strike/>
        </w:rPr>
        <w:t>ema de controle de custos e avaliação de resultados; (ART. 4º, I, “e” da LRF)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IV</w:t>
      </w:r>
      <w:r w:rsidRPr="00F44D72">
        <w:rPr>
          <w:strike/>
        </w:rPr>
        <w:t xml:space="preserve"> – até o exercício de 2006, elaborar o Relatório de Avaliação das Metas Fiscais, na forma prevista na Lei de Responsabilidade Fiscal.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42</w:t>
      </w:r>
      <w:r w:rsidRPr="00F44D72">
        <w:rPr>
          <w:strike/>
        </w:rPr>
        <w:t xml:space="preserve"> – O Executivo Municipal envi</w:t>
      </w:r>
      <w:r w:rsidRPr="00F44D72">
        <w:rPr>
          <w:strike/>
        </w:rPr>
        <w:t>ará até o dia 31/10/01, a proposta orçamentária à Câmara Municipal, que a apreciará e a devolverá para sanção até o dia 15/12/01.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§ 1º –</w:t>
      </w:r>
      <w:r w:rsidRPr="00F44D72">
        <w:rPr>
          <w:strike/>
        </w:rPr>
        <w:t xml:space="preserve"> A Câmara Municipal não entrará em recesso enquanto não cumprir o disposto no “Caput” deste artigo.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§ 2º</w:t>
      </w:r>
      <w:r w:rsidRPr="00F44D72">
        <w:rPr>
          <w:strike/>
        </w:rPr>
        <w:t xml:space="preserve"> - Se o pr</w:t>
      </w:r>
      <w:r w:rsidRPr="00F44D72">
        <w:rPr>
          <w:strike/>
        </w:rPr>
        <w:t>ojeto de lei orçamentária anual não for apreciado até o início do exercício financeiro de 2002, fica o Executivo Municipal autorizado a executar a proposta orçamentária na forma original, até a sansão da respectiva lei orçamentária anual.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§ 3º</w:t>
      </w:r>
      <w:r w:rsidRPr="00F44D72">
        <w:rPr>
          <w:strike/>
        </w:rPr>
        <w:t xml:space="preserve"> - Os even</w:t>
      </w:r>
      <w:r w:rsidRPr="00F44D72">
        <w:rPr>
          <w:strike/>
        </w:rPr>
        <w:t>tuais saldos negativos apurados em decorrência, do disposto no Parágrafo anterior serão ajustados após a sanção da lei orçamentária anual, mediante a abertura de créditos adicionais suplementares, através de decreto do Poder Executivo, usando como fontes d</w:t>
      </w:r>
      <w:r w:rsidRPr="00F44D72">
        <w:rPr>
          <w:strike/>
        </w:rPr>
        <w:t>e recursos o Superávit Financeiro do Exercício de 2001, o Excesso ou provável excesso de arrecadação, a anulação de saldos de dotações não comprometidas e a Reserva de Contingência, sem comprometer, neste caso, os recursos para atender os riscos fiscais pr</w:t>
      </w:r>
      <w:r w:rsidRPr="00F44D72">
        <w:rPr>
          <w:strike/>
        </w:rPr>
        <w:t>evistos.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43</w:t>
      </w:r>
      <w:r w:rsidRPr="00F44D72">
        <w:rPr>
          <w:strike/>
        </w:rPr>
        <w:t xml:space="preserve"> – A Secretaria Municipal de Administração e Finanças de através da contabilidade, fica obrigada a evidenciar os beneficiários de pagamentos de sentenças judiciais, com a observação da ordem cronológica.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44</w:t>
      </w:r>
      <w:r w:rsidRPr="00F44D72">
        <w:rPr>
          <w:strike/>
        </w:rPr>
        <w:t xml:space="preserve"> – Quando a Rede Oficia</w:t>
      </w:r>
      <w:r w:rsidRPr="00F44D72">
        <w:rPr>
          <w:strike/>
        </w:rPr>
        <w:t>l de Ensino Infantil, Fundamental e Médio for insuficiente para atender a demanda, poderão ser concedido auxílios financeiros à rede particular local através de convênios aprovado em lei específica.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45</w:t>
      </w:r>
      <w:r w:rsidRPr="00F44D72">
        <w:rPr>
          <w:strike/>
        </w:rPr>
        <w:t xml:space="preserve"> – Serão consideradas legais as despesas com mu</w:t>
      </w:r>
      <w:r w:rsidRPr="00F44D72">
        <w:rPr>
          <w:strike/>
        </w:rPr>
        <w:t>ltas e juros pelo eventual atraso no pagamento de compromissos decorrentes de insuficiência de disponibilidade de caixa.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lastRenderedPageBreak/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46</w:t>
      </w:r>
      <w:r w:rsidRPr="00F44D72">
        <w:rPr>
          <w:strike/>
        </w:rPr>
        <w:t xml:space="preserve"> – A Administração Municipal, tanto quanto possível , até a criação de estrutura adequada, deverá apropriar as despesas de fo</w:t>
      </w:r>
      <w:r w:rsidRPr="00F44D72">
        <w:rPr>
          <w:strike/>
        </w:rPr>
        <w:t>rma a demonstrar o custo de cada ação.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47</w:t>
      </w:r>
      <w:r w:rsidRPr="00F44D72">
        <w:rPr>
          <w:strike/>
        </w:rPr>
        <w:t xml:space="preserve"> – O poder Executivo passará ao poder Legislativo, mensalmente a título de suprimento, o percentual de 8% (Oito por cento) das receitas tributárias e das transferências previstas no parágrafo 5º do artigo 15</w:t>
      </w:r>
      <w:r w:rsidRPr="00F44D72">
        <w:rPr>
          <w:strike/>
        </w:rPr>
        <w:t>3 e nos artigos 158 e 159 da Constituição Federal.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>Art. 48 –</w:t>
      </w:r>
      <w:r w:rsidRPr="00F44D72">
        <w:rPr>
          <w:strike/>
        </w:rPr>
        <w:t xml:space="preserve"> O Executivo Municipal está autorizado a assinar convênios com o Governo Federal e Estadual através de seus órgãos da administração direta ou indireta para realização de obras ou serviços de co</w:t>
      </w:r>
      <w:r w:rsidRPr="00F44D72">
        <w:rPr>
          <w:strike/>
        </w:rPr>
        <w:t>mpetência do Município ou não.</w:t>
      </w:r>
    </w:p>
    <w:p w:rsidR="00000000" w:rsidRPr="00F44D72" w:rsidRDefault="00801BC9">
      <w:pPr>
        <w:spacing w:line="360" w:lineRule="auto"/>
        <w:jc w:val="both"/>
        <w:rPr>
          <w:b/>
          <w:strike/>
        </w:rPr>
      </w:pP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strike/>
        </w:rPr>
        <w:tab/>
      </w:r>
      <w:r w:rsidRPr="00F44D72">
        <w:rPr>
          <w:b/>
          <w:strike/>
        </w:rPr>
        <w:t xml:space="preserve">Art. 59 </w:t>
      </w:r>
      <w:r w:rsidRPr="00F44D72">
        <w:rPr>
          <w:strike/>
        </w:rPr>
        <w:t>– Esta lei entrará em vigor na data de sua publicação</w:t>
      </w:r>
    </w:p>
    <w:p w:rsidR="00000000" w:rsidRPr="00F44D72" w:rsidRDefault="00801BC9">
      <w:pPr>
        <w:spacing w:line="360" w:lineRule="auto"/>
        <w:jc w:val="both"/>
        <w:rPr>
          <w:strike/>
        </w:rPr>
      </w:pPr>
      <w:r w:rsidRPr="00F44D72">
        <w:rPr>
          <w:b/>
          <w:strike/>
        </w:rPr>
        <w:tab/>
      </w:r>
      <w:r w:rsidRPr="00F44D72">
        <w:rPr>
          <w:b/>
          <w:strike/>
        </w:rPr>
        <w:tab/>
      </w:r>
      <w:r w:rsidRPr="00F44D72">
        <w:rPr>
          <w:b/>
          <w:strike/>
        </w:rPr>
        <w:tab/>
        <w:t>Art. 50 –</w:t>
      </w:r>
      <w:r w:rsidRPr="00F44D72">
        <w:rPr>
          <w:strike/>
        </w:rPr>
        <w:t xml:space="preserve"> Revogam-se as disposições em contrário, em especial a Lei nº 1520 de 31 de outubro de 2000.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ind w:left="708" w:firstLine="708"/>
        <w:jc w:val="both"/>
        <w:rPr>
          <w:strike/>
        </w:rPr>
      </w:pPr>
      <w:r w:rsidRPr="00F44D72">
        <w:rPr>
          <w:strike/>
        </w:rPr>
        <w:t xml:space="preserve">Prefeitura Municipal de Bom Retiro, em 20 de junho de </w:t>
      </w:r>
      <w:r w:rsidRPr="00F44D72">
        <w:rPr>
          <w:strike/>
        </w:rPr>
        <w:t>2001.</w:t>
      </w: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spacing w:line="360" w:lineRule="auto"/>
        <w:jc w:val="both"/>
        <w:rPr>
          <w:strike/>
        </w:rPr>
      </w:pPr>
    </w:p>
    <w:p w:rsidR="00000000" w:rsidRPr="00F44D72" w:rsidRDefault="00801BC9">
      <w:pPr>
        <w:jc w:val="center"/>
        <w:rPr>
          <w:strike/>
        </w:rPr>
      </w:pPr>
      <w:r w:rsidRPr="00F44D72">
        <w:rPr>
          <w:strike/>
        </w:rPr>
        <w:t>Jair Jose Farias</w:t>
      </w:r>
    </w:p>
    <w:p w:rsidR="00000000" w:rsidRPr="00F44D72" w:rsidRDefault="00801BC9">
      <w:pPr>
        <w:jc w:val="center"/>
        <w:rPr>
          <w:strike/>
        </w:rPr>
      </w:pPr>
      <w:r w:rsidRPr="00F44D72">
        <w:rPr>
          <w:strike/>
        </w:rPr>
        <w:t>Prefeito Municipal</w:t>
      </w:r>
    </w:p>
    <w:p w:rsidR="00000000" w:rsidRPr="00F44D72" w:rsidRDefault="00801BC9">
      <w:pPr>
        <w:jc w:val="center"/>
        <w:rPr>
          <w:strike/>
        </w:rPr>
      </w:pP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 xml:space="preserve">Registrado e Publicado </w:t>
      </w: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>Na Data Supra</w:t>
      </w:r>
    </w:p>
    <w:p w:rsidR="00000000" w:rsidRPr="00F44D72" w:rsidRDefault="00801BC9">
      <w:pPr>
        <w:jc w:val="both"/>
        <w:rPr>
          <w:strike/>
        </w:rPr>
      </w:pPr>
    </w:p>
    <w:p w:rsidR="00000000" w:rsidRPr="00F44D72" w:rsidRDefault="00801BC9">
      <w:pPr>
        <w:jc w:val="both"/>
        <w:rPr>
          <w:strike/>
        </w:rPr>
      </w:pP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>Dirceu Nilo Bianchi</w:t>
      </w: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>Sec. Mun. de Adm. e Fazenda</w:t>
      </w:r>
    </w:p>
    <w:p w:rsidR="00000000" w:rsidRPr="00F44D72" w:rsidRDefault="00801BC9">
      <w:pPr>
        <w:rPr>
          <w:strike/>
        </w:rPr>
      </w:pPr>
    </w:p>
    <w:p w:rsidR="00000000" w:rsidRPr="00F44D72" w:rsidRDefault="00801BC9">
      <w:pPr>
        <w:rPr>
          <w:strike/>
        </w:rPr>
      </w:pPr>
    </w:p>
    <w:p w:rsidR="00000000" w:rsidRPr="00F44D72" w:rsidRDefault="00801BC9">
      <w:pPr>
        <w:pStyle w:val="Ttulo5"/>
        <w:ind w:firstLine="2268"/>
        <w:jc w:val="left"/>
        <w:rPr>
          <w:strike/>
        </w:rPr>
        <w:sectPr w:rsidR="00000000" w:rsidRPr="00F44D72">
          <w:pgSz w:w="11907" w:h="16840" w:code="9"/>
          <w:pgMar w:top="1134" w:right="1701" w:bottom="1134" w:left="1418" w:header="720" w:footer="720" w:gutter="0"/>
          <w:cols w:space="720"/>
        </w:sectPr>
      </w:pPr>
    </w:p>
    <w:p w:rsidR="00000000" w:rsidRPr="00F44D72" w:rsidRDefault="00F44D72">
      <w:pPr>
        <w:pStyle w:val="Ttulo5"/>
        <w:ind w:firstLine="2268"/>
        <w:jc w:val="left"/>
        <w:rPr>
          <w:b w:val="0"/>
          <w:strike/>
          <w:color w:val="000080"/>
          <w:sz w:val="28"/>
        </w:rPr>
      </w:pPr>
      <w:r>
        <w:rPr>
          <w:b w:val="0"/>
          <w:noProof/>
          <w:color w:val="00008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-170180</wp:posOffset>
                </wp:positionV>
                <wp:extent cx="1450975" cy="10471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44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942975"/>
                                  <wp:effectExtent l="0" t="0" r="0" b="9525"/>
                                  <wp:docPr id="1" name="Imagem 1" descr="..\WINDOWS\Logotip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\WINDOWS\Logotip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-13.4pt;width:114.25pt;height:8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/OtQ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" o:allowincell="f" filled="f" stroked="f">
                <v:textbox>
                  <w:txbxContent>
                    <w:p w:rsidR="00000000" w:rsidRDefault="00F44D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942975"/>
                            <wp:effectExtent l="0" t="0" r="0" b="9525"/>
                            <wp:docPr id="1" name="Imagem 1" descr="..\WINDOWS\Logotip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\WINDOWS\Logotip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1BC9">
        <w:rPr>
          <w:b w:val="0"/>
          <w:color w:val="000080"/>
          <w:sz w:val="28"/>
        </w:rPr>
        <w:t xml:space="preserve">Câmara </w:t>
      </w:r>
      <w:r w:rsidR="00801BC9" w:rsidRPr="00F44D72">
        <w:rPr>
          <w:b w:val="0"/>
          <w:strike/>
          <w:color w:val="000080"/>
          <w:sz w:val="28"/>
        </w:rPr>
        <w:t>Municipal de Vereadores</w:t>
      </w:r>
    </w:p>
    <w:p w:rsidR="00000000" w:rsidRPr="00F44D72" w:rsidRDefault="00801BC9">
      <w:pPr>
        <w:pStyle w:val="Ttulo4"/>
        <w:ind w:firstLine="2268"/>
        <w:jc w:val="left"/>
        <w:rPr>
          <w:b w:val="0"/>
          <w:i w:val="0"/>
          <w:strike/>
        </w:rPr>
      </w:pPr>
      <w:r w:rsidRPr="00F44D72">
        <w:rPr>
          <w:b w:val="0"/>
          <w:i w:val="0"/>
          <w:strike/>
          <w:color w:val="000080"/>
          <w:sz w:val="28"/>
        </w:rPr>
        <w:t>Estado de Santa Catarina</w:t>
      </w:r>
    </w:p>
    <w:p w:rsidR="00000000" w:rsidRPr="00F44D72" w:rsidRDefault="00801BC9">
      <w:pPr>
        <w:rPr>
          <w:strike/>
        </w:rPr>
      </w:pPr>
    </w:p>
    <w:p w:rsidR="00000000" w:rsidRPr="00F44D72" w:rsidRDefault="00801BC9">
      <w:pPr>
        <w:rPr>
          <w:strike/>
          <w:sz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0"/>
        <w:gridCol w:w="504"/>
        <w:gridCol w:w="1152"/>
        <w:gridCol w:w="504"/>
        <w:gridCol w:w="1656"/>
        <w:gridCol w:w="2884"/>
        <w:gridCol w:w="4762"/>
        <w:gridCol w:w="519"/>
        <w:gridCol w:w="657"/>
        <w:gridCol w:w="52"/>
      </w:tblGrid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780" w:type="dxa"/>
            <w:gridSpan w:val="10"/>
          </w:tcPr>
          <w:p w:rsidR="00000000" w:rsidRPr="00F44D72" w:rsidRDefault="00801BC9">
            <w:pPr>
              <w:pStyle w:val="Ttulo2"/>
              <w:jc w:val="center"/>
              <w:rPr>
                <w:strike/>
              </w:rPr>
            </w:pPr>
            <w:r w:rsidRPr="00F44D72">
              <w:rPr>
                <w:strike/>
              </w:rPr>
              <w:t>DIRETRIZES ORÇAMENTÁRIAS – ANEXO I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307"/>
        </w:trPr>
        <w:tc>
          <w:tcPr>
            <w:tcW w:w="1090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  <w:r w:rsidRPr="00F44D72">
              <w:rPr>
                <w:b/>
                <w:strike/>
                <w:color w:val="000000"/>
              </w:rPr>
              <w:t xml:space="preserve">                   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  <w:tc>
          <w:tcPr>
            <w:tcW w:w="1656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  <w:tc>
          <w:tcPr>
            <w:tcW w:w="2884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  <w:tc>
          <w:tcPr>
            <w:tcW w:w="4762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  <w:tc>
          <w:tcPr>
            <w:tcW w:w="519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  <w:tc>
          <w:tcPr>
            <w:tcW w:w="657" w:type="dxa"/>
            <w:tcBorders>
              <w:bottom w:val="single" w:sz="6" w:space="0" w:color="000000"/>
            </w:tcBorders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</w:rPr>
            </w:pPr>
            <w:r w:rsidRPr="00F44D72">
              <w:rPr>
                <w:b/>
                <w:strike/>
                <w:color w:val="000000"/>
                <w:sz w:val="18"/>
              </w:rPr>
              <w:t>FUNÇÃO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</w:rPr>
            </w:pPr>
            <w:r w:rsidRPr="00F44D72">
              <w:rPr>
                <w:b/>
                <w:strike/>
                <w:color w:val="000000"/>
                <w:sz w:val="18"/>
              </w:rPr>
              <w:t>COD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</w:rPr>
            </w:pPr>
            <w:r w:rsidRPr="00F44D72">
              <w:rPr>
                <w:b/>
                <w:strike/>
                <w:color w:val="000000"/>
                <w:sz w:val="18"/>
              </w:rPr>
              <w:t>PROGRAMA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n-US"/>
              </w:rPr>
            </w:pPr>
            <w:r w:rsidRPr="00F44D72">
              <w:rPr>
                <w:b/>
                <w:strike/>
                <w:color w:val="000000"/>
                <w:sz w:val="18"/>
                <w:lang w:val="en-US"/>
              </w:rPr>
              <w:t>COD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n-US"/>
              </w:rPr>
            </w:pPr>
            <w:r w:rsidRPr="00F44D72">
              <w:rPr>
                <w:b/>
                <w:strike/>
                <w:color w:val="000000"/>
                <w:sz w:val="18"/>
                <w:lang w:val="en-US"/>
              </w:rPr>
              <w:t>SUB-PROGRAMA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</w:rPr>
            </w:pPr>
            <w:r w:rsidRPr="00F44D72">
              <w:rPr>
                <w:b/>
                <w:strike/>
                <w:color w:val="000000"/>
                <w:sz w:val="18"/>
              </w:rPr>
              <w:t>PROJETO/ATIVIDADE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</w:rPr>
            </w:pPr>
            <w:r w:rsidRPr="00F44D72">
              <w:rPr>
                <w:b/>
                <w:strike/>
                <w:color w:val="000000"/>
                <w:sz w:val="18"/>
              </w:rPr>
              <w:t>DESCRIÇÃO DAS AÇÕES PROGRAMADAS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  <w:r w:rsidRPr="00F44D72">
              <w:rPr>
                <w:b/>
                <w:strike/>
                <w:color w:val="000000"/>
                <w:sz w:val="18"/>
                <w:lang w:val="es-ES_tradnl"/>
              </w:rPr>
              <w:t>Un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  <w:r w:rsidRPr="00F44D72">
              <w:rPr>
                <w:b/>
                <w:strike/>
                <w:color w:val="000000"/>
                <w:sz w:val="18"/>
                <w:lang w:val="es-ES_tradnl"/>
              </w:rPr>
              <w:t>METAS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000000" w:rsidRPr="00F44D72" w:rsidRDefault="00801BC9">
            <w:pPr>
              <w:jc w:val="center"/>
              <w:rPr>
                <w:b/>
                <w:strike/>
                <w:color w:val="000000"/>
                <w:sz w:val="18"/>
                <w:lang w:val="es-ES_tradnl"/>
              </w:rPr>
            </w:pPr>
            <w:r w:rsidRPr="00F44D72">
              <w:rPr>
                <w:b/>
                <w:strike/>
                <w:color w:val="000000"/>
                <w:sz w:val="18"/>
                <w:lang w:val="es-ES_tradnl"/>
              </w:rPr>
              <w:t>2002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  <w:lang w:val="es-ES_tradnl"/>
              </w:rPr>
            </w:pPr>
            <w:r w:rsidRPr="00F44D72">
              <w:rPr>
                <w:strike/>
                <w:color w:val="000000"/>
                <w:sz w:val="22"/>
                <w:lang w:val="es-ES_tradnl"/>
              </w:rPr>
              <w:t>Legislativa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Processo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Ação Legislativa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Reuniões Ordinárias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Un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40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Legislativo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Vereadores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Reuniões Extraordiná</w:t>
            </w:r>
            <w:r w:rsidRPr="00F44D72">
              <w:rPr>
                <w:strike/>
                <w:color w:val="000000"/>
                <w:sz w:val="22"/>
              </w:rPr>
              <w:t>rias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Un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25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Aquisição de Equipamentos e Material Permanente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Vereadores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Aquisição de Equipamentos e Material Permanente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da Câmara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Revis</w:t>
            </w:r>
            <w:r w:rsidRPr="00F44D72">
              <w:rPr>
                <w:strike/>
                <w:color w:val="000000"/>
                <w:sz w:val="22"/>
              </w:rPr>
              <w:t>ão do Regimento Interno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Vereadores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Revisão da Lei Orgânica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Construção de prédio próprio para a Câmara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30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da Câmara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Locação de imóvel para Sede da Câmara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Aquisição de Terreno para Const</w:t>
            </w:r>
            <w:r w:rsidRPr="00F44D72">
              <w:rPr>
                <w:strike/>
                <w:color w:val="000000"/>
                <w:sz w:val="22"/>
              </w:rPr>
              <w:t>rução da Sede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Reciclagem, treinamento e aperfeiçoamento do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da Câmara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 xml:space="preserve">pessoal técnico/administrativo </w:t>
            </w: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da Câmara de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Cursos, Palestras, Seminários, Aperfeiçoamento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Vereadores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pa</w:t>
            </w:r>
            <w:r w:rsidRPr="00F44D72">
              <w:rPr>
                <w:strike/>
                <w:color w:val="000000"/>
                <w:sz w:val="22"/>
              </w:rPr>
              <w:t>ra Vereadores</w:t>
            </w: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Manutenção e Funcionamento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Controle, Manutenção e Funcionamento da Câmara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da Câmara</w:t>
            </w: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Contribuição a Entidades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Contribuições a Entidades Privadas e Filantrópicas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Assistência Previdenciária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both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sz w:val="22"/>
              </w:rPr>
              <w:t>Paga</w:t>
            </w:r>
            <w:r w:rsidRPr="00F44D72">
              <w:rPr>
                <w:strike/>
                <w:sz w:val="22"/>
              </w:rPr>
              <w:t>mento de Encargos Sociais - Pessoal Ativo e Inativo, Proventos e Pensões.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  <w:r w:rsidRPr="00F44D72">
              <w:rPr>
                <w:strike/>
                <w:color w:val="000000"/>
                <w:sz w:val="22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4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FFFFFF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</w:tbl>
    <w:p w:rsidR="00000000" w:rsidRPr="00F44D72" w:rsidRDefault="00801BC9">
      <w:pPr>
        <w:jc w:val="right"/>
        <w:rPr>
          <w:strike/>
          <w:color w:val="000000"/>
          <w:sz w:val="22"/>
        </w:rPr>
        <w:sectPr w:rsidR="00000000" w:rsidRPr="00F44D72">
          <w:pgSz w:w="16840" w:h="11907" w:orient="landscape" w:code="9"/>
          <w:pgMar w:top="1701" w:right="1134" w:bottom="1418" w:left="1134" w:header="720" w:footer="720" w:gutter="0"/>
          <w:cols w:space="720"/>
        </w:sect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0"/>
        <w:gridCol w:w="504"/>
        <w:gridCol w:w="1152"/>
        <w:gridCol w:w="504"/>
        <w:gridCol w:w="209"/>
        <w:gridCol w:w="80"/>
        <w:gridCol w:w="1367"/>
        <w:gridCol w:w="2884"/>
        <w:gridCol w:w="4762"/>
        <w:gridCol w:w="519"/>
        <w:gridCol w:w="709"/>
      </w:tblGrid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656" w:type="dxa"/>
            <w:gridSpan w:val="3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884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4762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19" w:type="dxa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090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1152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504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209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80" w:type="dxa"/>
          </w:tcPr>
          <w:p w:rsidR="00000000" w:rsidRPr="00F44D72" w:rsidRDefault="00801BC9">
            <w:pPr>
              <w:jc w:val="right"/>
              <w:rPr>
                <w:strike/>
                <w:color w:val="000000"/>
                <w:sz w:val="22"/>
              </w:rPr>
            </w:pPr>
          </w:p>
        </w:tc>
        <w:tc>
          <w:tcPr>
            <w:tcW w:w="9013" w:type="dxa"/>
            <w:gridSpan w:val="3"/>
          </w:tcPr>
          <w:p w:rsidR="00000000" w:rsidRPr="00F44D72" w:rsidRDefault="00801BC9">
            <w:pPr>
              <w:pStyle w:val="Ttulo1"/>
              <w:rPr>
                <w:strike/>
                <w:sz w:val="22"/>
              </w:rPr>
            </w:pPr>
          </w:p>
          <w:p w:rsidR="00000000" w:rsidRPr="00F44D72" w:rsidRDefault="00801BC9">
            <w:pPr>
              <w:pStyle w:val="Ttulo1"/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519" w:type="dxa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000000" w:rsidRPr="00F44D72" w:rsidRDefault="00801BC9">
            <w:pPr>
              <w:jc w:val="center"/>
              <w:rPr>
                <w:strike/>
                <w:color w:val="000000"/>
                <w:sz w:val="22"/>
              </w:rPr>
            </w:pPr>
          </w:p>
        </w:tc>
      </w:tr>
    </w:tbl>
    <w:p w:rsidR="00000000" w:rsidRPr="00F44D72" w:rsidRDefault="00801BC9">
      <w:pPr>
        <w:rPr>
          <w:strike/>
        </w:rPr>
      </w:pPr>
    </w:p>
    <w:p w:rsidR="00000000" w:rsidRPr="00F44D72" w:rsidRDefault="00801BC9">
      <w:pPr>
        <w:pStyle w:val="Ttulo2"/>
        <w:jc w:val="center"/>
        <w:rPr>
          <w:strike/>
        </w:rPr>
      </w:pPr>
      <w:r w:rsidRPr="00F44D72">
        <w:rPr>
          <w:strike/>
        </w:rPr>
        <w:t>ANEXO II</w:t>
      </w:r>
    </w:p>
    <w:p w:rsidR="00000000" w:rsidRPr="00F44D72" w:rsidRDefault="00801BC9">
      <w:pPr>
        <w:pStyle w:val="Ttulo2"/>
        <w:jc w:val="center"/>
        <w:rPr>
          <w:strike/>
        </w:rPr>
      </w:pPr>
      <w:r w:rsidRPr="00F44D72">
        <w:rPr>
          <w:strike/>
        </w:rPr>
        <w:t>DIRETRIZES ORÇAMENTÁRIAS</w:t>
      </w:r>
    </w:p>
    <w:p w:rsidR="00000000" w:rsidRPr="00F44D72" w:rsidRDefault="00801BC9">
      <w:pPr>
        <w:jc w:val="center"/>
        <w:rPr>
          <w:rFonts w:ascii="Bookman Old Style" w:hAnsi="Bookman Old Style"/>
          <w:strike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693"/>
        <w:gridCol w:w="3402"/>
        <w:gridCol w:w="567"/>
        <w:gridCol w:w="850"/>
      </w:tblGrid>
      <w:tr w:rsidR="00000000" w:rsidRPr="00F44D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7" w:type="dxa"/>
          </w:tcPr>
          <w:p w:rsidR="00000000" w:rsidRPr="00F44D72" w:rsidRDefault="00801BC9">
            <w:pPr>
              <w:pStyle w:val="Ttulo2"/>
              <w:jc w:val="center"/>
              <w:rPr>
                <w:b w:val="0"/>
                <w:strike/>
              </w:rPr>
            </w:pPr>
            <w:r w:rsidRPr="00F44D72">
              <w:rPr>
                <w:b w:val="0"/>
                <w:strike/>
              </w:rPr>
              <w:t>Órgão</w:t>
            </w:r>
          </w:p>
        </w:tc>
        <w:tc>
          <w:tcPr>
            <w:tcW w:w="2693" w:type="dxa"/>
          </w:tcPr>
          <w:p w:rsidR="00000000" w:rsidRPr="00F44D72" w:rsidRDefault="00801BC9">
            <w:pPr>
              <w:pStyle w:val="Ttulo7"/>
              <w:rPr>
                <w:strike/>
              </w:rPr>
            </w:pPr>
            <w:r w:rsidRPr="00F44D72">
              <w:rPr>
                <w:strike/>
              </w:rPr>
              <w:t>PROJETO / ATIVIDADE</w:t>
            </w:r>
          </w:p>
        </w:tc>
        <w:tc>
          <w:tcPr>
            <w:tcW w:w="3402" w:type="dxa"/>
          </w:tcPr>
          <w:p w:rsidR="00000000" w:rsidRPr="00F44D72" w:rsidRDefault="00801BC9">
            <w:pPr>
              <w:pStyle w:val="Ttulo7"/>
              <w:rPr>
                <w:strike/>
              </w:rPr>
            </w:pPr>
            <w:r w:rsidRPr="00F44D72">
              <w:rPr>
                <w:strike/>
              </w:rPr>
              <w:t>DESCRIÇÃO DAS AÇÕES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UN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2002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trHeight w:val="1150"/>
          <w:jc w:val="center"/>
        </w:trPr>
        <w:tc>
          <w:tcPr>
            <w:tcW w:w="1277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02.00-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Gabinete do Prefeito</w:t>
            </w: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Administração do funcio</w:t>
            </w:r>
            <w:r w:rsidRPr="00F44D72">
              <w:rPr>
                <w:strike/>
                <w:sz w:val="24"/>
              </w:rPr>
              <w:t>namento da Administração Superior do Município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do Gabinete do Prefeito, Aquisição de Materiais, Aquisição de um Veículo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03.00-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Secretaria Municipal de Administração e Fazenda</w:t>
            </w: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das atividades de Administração Gera</w:t>
            </w:r>
            <w:r w:rsidRPr="00F44D72">
              <w:rPr>
                <w:strike/>
                <w:sz w:val="24"/>
              </w:rPr>
              <w:t>l. De Tributação, da Contadoria e das Finanças do Município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das Atividades Administrativas, da Tributação, da Contadoria, das Finanças Municipais e equipá-los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Recadastramento Urbano, aquisição de veículos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Contribuição a E</w:t>
            </w:r>
            <w:r w:rsidRPr="00F44D72">
              <w:rPr>
                <w:strike/>
                <w:sz w:val="24"/>
              </w:rPr>
              <w:t>ntidades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Contribuição a Entidades Privadas e Filantrópicas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Aquisição,Constr.e/ou Rest. Edifícios Públicos Municipais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Construção sede administrativa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Restaurações de Edificações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Aquisição de Imóveis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30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30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Encargos Gerais do Município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Amor</w:t>
            </w:r>
            <w:r w:rsidRPr="00F44D72">
              <w:rPr>
                <w:strike/>
                <w:sz w:val="24"/>
              </w:rPr>
              <w:t>tização e Encargos da Dívida Pública, Contribuição ao PASEP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a Segurança Pública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Incentivo p/ instalação Posto Policial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e Manutenção pre</w:t>
            </w:r>
            <w:r w:rsidRPr="00F44D72">
              <w:rPr>
                <w:strike/>
                <w:sz w:val="24"/>
              </w:rPr>
              <w:t>videnciária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de encargos sociais,pessoal ativo e inativo,proventos e pensões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04.00-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Secretaria Municipal de Educação, Cultura e Esporte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lastRenderedPageBreak/>
              <w:t>Manutenção das atividades da Secretaria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 Secretaria, Aquisição</w:t>
            </w:r>
            <w:r w:rsidRPr="00F44D72">
              <w:rPr>
                <w:strike/>
                <w:sz w:val="24"/>
              </w:rPr>
              <w:t xml:space="preserve"> de materiais e de veículos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das Creches Municipais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de Creches Municipais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Expansão e Equipamentos das Creches Municipais e Pré-escola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 xml:space="preserve">Construir,Ampliar,Adquirir e Equipar Espaços Físicos p/Funcionamento </w:t>
            </w:r>
            <w:r w:rsidRPr="00F44D72">
              <w:rPr>
                <w:strike/>
                <w:sz w:val="24"/>
              </w:rPr>
              <w:t>de creches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trHeight w:val="1634"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Ensino Pré-Escolar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 Pré-Escola, dotando-a de espaço Físico, Equipamentos, Pessoal e Materiais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Implantação e Manutenção do Fundo Municipal de Educação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do Fundo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Fundo de Desenvolvimento do Ensino Fundamental e de Valorização do Magistério-FUNDEF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Plano de Cargos e Salários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Implantação de Escolas Nucleadas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</w:p>
          <w:p w:rsidR="00000000" w:rsidRPr="00F44D72" w:rsidRDefault="00801BC9">
            <w:pPr>
              <w:rPr>
                <w:strike/>
                <w:sz w:val="24"/>
              </w:rPr>
            </w:pPr>
          </w:p>
          <w:p w:rsidR="00000000" w:rsidRPr="00F44D72" w:rsidRDefault="00801BC9">
            <w:pPr>
              <w:rPr>
                <w:strike/>
                <w:sz w:val="24"/>
              </w:rPr>
            </w:pP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Ensino Fundamental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 xml:space="preserve">Reciclagem, aperfeiçoamento, </w:t>
            </w:r>
            <w:r w:rsidRPr="00F44D72">
              <w:rPr>
                <w:strike/>
                <w:sz w:val="24"/>
              </w:rPr>
              <w:t>Curso p/professores Pagto pessoal ensino fundamental, materiais didáticos, repasse ao Fundef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vMerge w:val="restart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Transporte Escolar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Propiciar transporte p/alunos das Escolas Nucleadas e Estudantes de 2º Grau e Universitários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Aquisição de Veículo</w:t>
            </w:r>
            <w:r w:rsidRPr="00F44D72">
              <w:rPr>
                <w:strike/>
                <w:sz w:val="24"/>
              </w:rPr>
              <w:t>s Escolar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Un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01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para Estudantes de 2º e 3º Graus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Concessão de Bolsas de Estudos Expansão de Cursos Superiores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Un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Un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50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01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Programa Merenda Escolar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Fornecimento de Merenda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das Atividades do NAES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Dar continuidade ao En</w:t>
            </w:r>
            <w:r w:rsidRPr="00F44D72">
              <w:rPr>
                <w:strike/>
                <w:sz w:val="24"/>
              </w:rPr>
              <w:t>sino Supletivo de 1º e 2º Grau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Auxílio Financeiro à APAE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Subvencionar Escolas de Ensino Especial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e Manutenção Previdenciária a Segurados da Educação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de encargos sociais, pessoal ativo e inativo, proventos e pensões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e Manutenção Previdenciária Ensino Fundamental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de encargos sociais, pessoal ativo do Ensino Fundamental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ao Desporto Amador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Incentivo p/ as práticas Desportivas, Manutenção de Ginásios, Quadras, Módulos Desportivos.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Expansão e Equip.Rede Física do Desporto Amador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Reformas,Restaurações,Ampliações da Rede Física, Aquisição de Equipamentos, Const. Ginásios, Campos de Futebol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Di</w:t>
            </w:r>
            <w:r w:rsidRPr="00F44D72">
              <w:rPr>
                <w:strike/>
                <w:sz w:val="24"/>
              </w:rPr>
              <w:t>fusão da Cultura em Geral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 Biblioteca, Aquisição de Livros Didáticos, Incentivos a Programas Culturais, Subvenções a Entidades Culturais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05.00-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 xml:space="preserve">Secretaria Municipal </w:t>
            </w:r>
            <w:r w:rsidRPr="00F44D72">
              <w:rPr>
                <w:strike/>
                <w:sz w:val="24"/>
              </w:rPr>
              <w:lastRenderedPageBreak/>
              <w:t>de Saúde e Bem Estar Social</w:t>
            </w: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lastRenderedPageBreak/>
              <w:t xml:space="preserve">Manutenção das Atividades da Secretaria de </w:t>
            </w:r>
            <w:r w:rsidRPr="00F44D72">
              <w:rPr>
                <w:strike/>
                <w:sz w:val="24"/>
              </w:rPr>
              <w:t>Saúde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 Secretaria de Saúde, aquisição de materiais e de veículos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as Atividades de Combate a Desnutrição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Programa de atendimento a Gestante e Crianças Desnutridas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dos Serviços do Fu</w:t>
            </w:r>
            <w:r w:rsidRPr="00F44D72">
              <w:rPr>
                <w:strike/>
                <w:sz w:val="24"/>
              </w:rPr>
              <w:t>ndo Municipal de Saúde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Atendimento ambulatorial nas unidades e Postos de Saúde, Campanhas de Vacinação, Prevenção, Erradicação de Doenças, Fornecimento de Medicamentos p/ Pessoas Carentes, Manut. De Ambulância,Transp. de Doentes, Assistência Médica 24 hora</w:t>
            </w:r>
            <w:r w:rsidRPr="00F44D72">
              <w:rPr>
                <w:strike/>
                <w:sz w:val="24"/>
              </w:rPr>
              <w:t>s, Odontológica,Instalação de uma Unidade Móvel de Saúde para as comunidades do Interior e Bairros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Expansão e Equip.da Rede Física do Setor de Saúde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Ampliação, Restauração Reformas de Unidades e Postos Aquisição de Equipamentos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30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T</w:t>
            </w:r>
            <w:r w:rsidRPr="00F44D72">
              <w:rPr>
                <w:strike/>
                <w:sz w:val="24"/>
              </w:rPr>
              <w:t>ransferências ao FIA, FMAS, FMS e Org.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Contribuição a Entidades Privadas e Filantrópicas e repasse aos Fundos Municipais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Auxílio Financeiro ao Hospital Nossa Senhora das Graças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Concessão de Auxílio Financeiro ao Hospital Nossa Senhora das Graças pa</w:t>
            </w:r>
            <w:r w:rsidRPr="00F44D72">
              <w:rPr>
                <w:strike/>
                <w:sz w:val="24"/>
              </w:rPr>
              <w:t>ra auxiliar na manutenção da Entidade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Fundo Municipal p/ Infância e Adolescência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Programas de Atendimento a Infância e Adolescência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p/ Atividades de Assistência ao Idoso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 xml:space="preserve">Viabilizar Programas de Assistência ao </w:t>
            </w:r>
            <w:r w:rsidRPr="00F44D72">
              <w:rPr>
                <w:strike/>
                <w:sz w:val="24"/>
              </w:rPr>
              <w:t>Idoso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Fundo Municipal de Assistência Social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Programas de Assistência Social, Cumprimento da Finalidade do Fundo, Cestas básicas p/ famílias carentes, Repasses a Entidades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</w:t>
            </w:r>
            <w:r w:rsidRPr="00F44D72">
              <w:rPr>
                <w:strike/>
                <w:sz w:val="24"/>
              </w:rPr>
              <w:t>o Precatório e Sentenças Judiciais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encargos sociais pessoal ativo e inativo, Proventos e Pensões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06.00-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Secretaria Municipal de Agricultura e Meio Ambiente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lastRenderedPageBreak/>
              <w:t>Manutenção das atividades da Secreta</w:t>
            </w:r>
            <w:r w:rsidRPr="00F44D72">
              <w:rPr>
                <w:strike/>
                <w:sz w:val="24"/>
              </w:rPr>
              <w:t>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 Secretaria , Aquisição de materiais , veículos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das atividades do Parque Municipal de Exposições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 Administração do Parque Municipal de Exposições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Ampliação e Reforma d</w:t>
            </w:r>
            <w:r w:rsidRPr="00F44D72">
              <w:rPr>
                <w:strike/>
                <w:sz w:val="24"/>
              </w:rPr>
              <w:t>o Parque Municipal de Exposições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Construir,Ampliar,Reformar as Instalações do Parque Municipal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e Reequipamento da Patrulha Agrícola Mecanizada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Manutenção, Conservação e Aquisição de Implementos, Tratores Agrícolas e trator de esteira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</w:t>
            </w:r>
            <w:r w:rsidRPr="00F44D72">
              <w:rPr>
                <w:strike/>
                <w:sz w:val="24"/>
              </w:rPr>
              <w:t>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ao Pequeno Produtor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Incentivo a Agricultura, com disponibilidade de trator agrícola, Implantação da Linha do Leite, Secador de Grãos, Casa de Venda de Produtos Agrícolas e artesanais  com o transporte de tais produtos, Cursos profissionalizantes</w:t>
            </w:r>
            <w:r w:rsidRPr="00F44D72">
              <w:rPr>
                <w:strike/>
                <w:sz w:val="24"/>
              </w:rPr>
              <w:t>, Incentivo a Coop. de crédito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Horto Municipal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Incentivo a produção de sementes e Mudas p/ Distribuição p/ reflorestamento e outros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Realização de Feiras, Exposições e Eventos Agropecuários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e Apoiar a Realização de F</w:t>
            </w:r>
            <w:r w:rsidRPr="00F44D72">
              <w:rPr>
                <w:strike/>
                <w:sz w:val="24"/>
              </w:rPr>
              <w:t>eiras, Exposições e Eventos Agropecuários</w:t>
            </w:r>
          </w:p>
        </w:tc>
        <w:tc>
          <w:tcPr>
            <w:tcW w:w="567" w:type="dxa"/>
          </w:tcPr>
          <w:p w:rsidR="00000000" w:rsidRPr="00F44D72" w:rsidRDefault="00801BC9">
            <w:pPr>
              <w:spacing w:line="360" w:lineRule="auto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a Defesa Sanitária Animal e Vegetal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Atendimento as ações de Defesa Sanitária Animal, Vegetal, Implantação do Abatedouro Municipal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encar</w:t>
            </w:r>
            <w:r w:rsidRPr="00F44D72">
              <w:rPr>
                <w:strike/>
                <w:sz w:val="24"/>
              </w:rPr>
              <w:t>gos sociais pessoal ativo e inativo, Proventos e Pensões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Técnica e Extensão Rural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aos Produtores Rurais com Técnicos e extensionistas, Projeto Micro-Bacias , Calcário, Adubo, Banco da Terra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Saldar Precatórios, Senten</w:t>
            </w:r>
            <w:r w:rsidRPr="00F44D72">
              <w:rPr>
                <w:strike/>
                <w:sz w:val="24"/>
              </w:rPr>
              <w:t>ças Judiciais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07.00-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Secretaria Municipal dos Transportes Obras e Serviços Urbanos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lastRenderedPageBreak/>
              <w:t>Manutenção das Atividades da Secretaria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 Secretaria, aquisição de materiais e de veícul</w:t>
            </w:r>
            <w:r w:rsidRPr="00F44D72">
              <w:rPr>
                <w:strike/>
                <w:sz w:val="24"/>
              </w:rPr>
              <w:t>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Participação em Obras de Eletrificação Rural e Telefonia Rural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Participação do Município em Obras de Eletrificação Rural e Telefonia Rural, visando a melhoria das condições de vida no Meio Rural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Apoio p/ Núcleos Habitacionais Urbanos e R</w:t>
            </w:r>
            <w:r w:rsidRPr="00F44D72">
              <w:rPr>
                <w:strike/>
                <w:sz w:val="24"/>
              </w:rPr>
              <w:t>urais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Convênio p/ atender demanda de moradias no meio Urbano e Rural e/ou empréstimos p/ implantação de Núcleos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dos Serviços de Limpeza Pública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Coleta de Lixo em Domicílios, Depósito de Lixos Tóxicos, Unidade de Reciclagem do Lixo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Cemitério Público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Manutenção, Conservação do Cemitério Público Municipal e Construção de Capela Ecumênica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Ampliação do Cemitério Público e/ou Implantação de Novos Cemitérios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Implantação de Cemitério no Bairro São José e outras local</w:t>
            </w:r>
            <w:r w:rsidRPr="00F44D72">
              <w:rPr>
                <w:strike/>
                <w:sz w:val="24"/>
              </w:rPr>
              <w:t>idades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 Iluminação Pública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Dar continuidades aos Serviços de Iluminação Pública com Renovação de Convênio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e Ampliação de Parques ou Jardins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Manter e Restaurar os Parques e Jardins Existentes e a Implantação de Outros</w:t>
            </w:r>
            <w:r w:rsidRPr="00F44D72">
              <w:rPr>
                <w:strike/>
                <w:sz w:val="24"/>
              </w:rPr>
              <w:t>.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Construção e/ou urbanização da Praça Constâncio Krumell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a Construção e/ou urbanização da Praça Constâncio Krumell, oferecendo mais uma opção de lazer a comunidade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Expansão de Obras de Saneamento Geral e Manutenção de Serviços E</w:t>
            </w:r>
            <w:r w:rsidRPr="00F44D72">
              <w:rPr>
                <w:strike/>
                <w:sz w:val="24"/>
              </w:rPr>
              <w:t>xistentes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Viabilização de Obras Voltadas para Saneamento (Pavimentação, Asfaltamento de Ruas/Avenidas, Canalização de Esgotos, Drenagens) e Manter as Existentes, Sinalização de trânsito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Terminal Rodoviário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Conservação, Manutenção e am</w:t>
            </w:r>
            <w:r w:rsidRPr="00F44D72">
              <w:rPr>
                <w:strike/>
                <w:sz w:val="24"/>
              </w:rPr>
              <w:t>pliação do Terminal Rodoviário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trHeight w:val="1960"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 Malha Rodoviária Municipal, Construção de Pontes, Bueiros e Pontilhões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Manutenção, Conservação e Restauração de Estradas Municipais e Vicinais, Construção de Estradas, Pontes, Bueiros e Pontilhões com vi</w:t>
            </w:r>
            <w:r w:rsidRPr="00F44D72">
              <w:rPr>
                <w:strike/>
                <w:sz w:val="24"/>
              </w:rPr>
              <w:t>sta à melhoria do Sistema Viário, Dragagem de Rios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da Frota Municipal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Manutenção, conservação e reequipamento de máquinas  equipamentos, Veículos e Implementos.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Manutenção, Conservação e Restauração de Vias Urbanas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 xml:space="preserve">Manutenção de </w:t>
            </w:r>
            <w:r w:rsidRPr="00F44D72">
              <w:rPr>
                <w:strike/>
                <w:sz w:val="24"/>
              </w:rPr>
              <w:t>Ruas/Avenidas, Abertura de Logradouros Públicos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de encargos sociais,pessoal ativo e inativo,proventos e pensões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dos serviços industriais da Prefeitura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e conservação dos ser</w:t>
            </w:r>
            <w:r w:rsidRPr="00F44D72">
              <w:rPr>
                <w:strike/>
                <w:sz w:val="24"/>
              </w:rPr>
              <w:t>viços da fábrica de tubos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 w:val="restart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08.00-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Secretaria Municipal de Indústria Comércio e Turismo</w:t>
            </w: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lastRenderedPageBreak/>
              <w:t>Manutenção das atividades da Secretaria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o Funcionamento da Sec</w:t>
            </w:r>
            <w:r w:rsidRPr="00F44D72">
              <w:rPr>
                <w:strike/>
                <w:sz w:val="24"/>
              </w:rPr>
              <w:t>retaria, aquisição de materiais e de veículos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Manutenção do Departamento de Turismo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Divulgação dos atrativos turísticos, abertura de acessos e trilhas, planejamento e fortalecimento do turismo interno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Realização da Festa Estadual do Churras</w:t>
            </w:r>
            <w:r w:rsidRPr="00F44D72">
              <w:rPr>
                <w:strike/>
                <w:sz w:val="24"/>
              </w:rPr>
              <w:t>co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Viabilizar a Realização da Festa Estadual do Churrasco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Saldar Precatórios, Sentenças Judiciais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Precatório e Sentenças Judiciais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Assistência e Manutenção Previdenciária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Pagto encargos sociais pessoal ativo e inativo, Proventos e Pen</w:t>
            </w:r>
            <w:r w:rsidRPr="00F44D72">
              <w:rPr>
                <w:strike/>
                <w:sz w:val="24"/>
              </w:rPr>
              <w:t>sões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  <w:tr w:rsidR="00000000" w:rsidRPr="00F44D7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7" w:type="dxa"/>
            <w:vMerge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</w:p>
        </w:tc>
        <w:tc>
          <w:tcPr>
            <w:tcW w:w="2693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Incentivo a Implantação de Indústrias</w:t>
            </w:r>
          </w:p>
        </w:tc>
        <w:tc>
          <w:tcPr>
            <w:tcW w:w="3402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Implantação de Área Industrial e incentivo fomento industrial a instalação de Novas Indústrias através de concessão de estímulos e patrocínio de exposições</w:t>
            </w:r>
          </w:p>
        </w:tc>
        <w:tc>
          <w:tcPr>
            <w:tcW w:w="567" w:type="dxa"/>
          </w:tcPr>
          <w:p w:rsidR="00000000" w:rsidRPr="00F44D72" w:rsidRDefault="00801BC9">
            <w:pPr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%</w:t>
            </w:r>
          </w:p>
        </w:tc>
        <w:tc>
          <w:tcPr>
            <w:tcW w:w="850" w:type="dxa"/>
          </w:tcPr>
          <w:p w:rsidR="00000000" w:rsidRPr="00F44D72" w:rsidRDefault="00801BC9">
            <w:pPr>
              <w:jc w:val="center"/>
              <w:rPr>
                <w:strike/>
                <w:sz w:val="24"/>
              </w:rPr>
            </w:pPr>
            <w:r w:rsidRPr="00F44D72">
              <w:rPr>
                <w:strike/>
                <w:sz w:val="24"/>
              </w:rPr>
              <w:t>100</w:t>
            </w:r>
          </w:p>
        </w:tc>
      </w:tr>
    </w:tbl>
    <w:p w:rsidR="00000000" w:rsidRPr="00F44D72" w:rsidRDefault="00801BC9">
      <w:pPr>
        <w:rPr>
          <w:strike/>
        </w:rPr>
      </w:pPr>
    </w:p>
    <w:p w:rsidR="00000000" w:rsidRPr="00F44D72" w:rsidRDefault="00801BC9">
      <w:pPr>
        <w:rPr>
          <w:rFonts w:ascii="Bookman Old Style" w:hAnsi="Bookman Old Style"/>
          <w:strike/>
          <w:sz w:val="24"/>
        </w:rPr>
      </w:pPr>
    </w:p>
    <w:p w:rsidR="00000000" w:rsidRPr="00F44D72" w:rsidRDefault="00801BC9">
      <w:pPr>
        <w:rPr>
          <w:rFonts w:ascii="Bookman Old Style" w:hAnsi="Bookman Old Style"/>
          <w:strike/>
          <w:sz w:val="24"/>
        </w:rPr>
      </w:pPr>
    </w:p>
    <w:p w:rsidR="00000000" w:rsidRPr="00F44D72" w:rsidRDefault="00801BC9">
      <w:pPr>
        <w:rPr>
          <w:rFonts w:ascii="Bookman Old Style" w:hAnsi="Bookman Old Style"/>
          <w:strike/>
          <w:sz w:val="24"/>
        </w:rPr>
      </w:pPr>
    </w:p>
    <w:p w:rsidR="00000000" w:rsidRPr="00F44D72" w:rsidRDefault="00801BC9">
      <w:pPr>
        <w:jc w:val="center"/>
        <w:rPr>
          <w:strike/>
        </w:rPr>
      </w:pPr>
      <w:r w:rsidRPr="00F44D72">
        <w:rPr>
          <w:strike/>
        </w:rPr>
        <w:t>Jair Jose Farias</w:t>
      </w:r>
    </w:p>
    <w:p w:rsidR="00000000" w:rsidRPr="00F44D72" w:rsidRDefault="00801BC9">
      <w:pPr>
        <w:jc w:val="center"/>
        <w:rPr>
          <w:strike/>
        </w:rPr>
      </w:pPr>
      <w:r w:rsidRPr="00F44D72">
        <w:rPr>
          <w:strike/>
        </w:rPr>
        <w:t>Prefeito Municipal</w:t>
      </w:r>
    </w:p>
    <w:p w:rsidR="00000000" w:rsidRPr="00F44D72" w:rsidRDefault="00801BC9">
      <w:pPr>
        <w:jc w:val="center"/>
        <w:rPr>
          <w:strike/>
        </w:rPr>
      </w:pP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>R</w:t>
      </w:r>
      <w:r w:rsidRPr="00F44D72">
        <w:rPr>
          <w:strike/>
        </w:rPr>
        <w:t xml:space="preserve">egistrado e Publicado </w:t>
      </w: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>Na Data Supra</w:t>
      </w:r>
    </w:p>
    <w:p w:rsidR="00000000" w:rsidRPr="00F44D72" w:rsidRDefault="00801BC9">
      <w:pPr>
        <w:jc w:val="both"/>
        <w:rPr>
          <w:strike/>
        </w:rPr>
      </w:pPr>
    </w:p>
    <w:p w:rsidR="00000000" w:rsidRPr="00F44D72" w:rsidRDefault="00801BC9">
      <w:pPr>
        <w:jc w:val="both"/>
        <w:rPr>
          <w:strike/>
        </w:rPr>
      </w:pP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>Dirceu Nilo Bianchi</w:t>
      </w:r>
    </w:p>
    <w:p w:rsidR="00000000" w:rsidRPr="00F44D72" w:rsidRDefault="00801BC9">
      <w:pPr>
        <w:jc w:val="both"/>
        <w:rPr>
          <w:strike/>
        </w:rPr>
      </w:pPr>
      <w:r w:rsidRPr="00F44D72">
        <w:rPr>
          <w:strike/>
        </w:rPr>
        <w:t>Sec. Mun. de Adm. e Fazenda</w:t>
      </w:r>
    </w:p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000000" w:rsidRDefault="00801BC9"/>
    <w:p w:rsidR="00801BC9" w:rsidRDefault="00801BC9"/>
    <w:sectPr w:rsidR="00801BC9">
      <w:pgSz w:w="11907" w:h="16840" w:code="9"/>
      <w:pgMar w:top="1418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C1F80"/>
    <w:multiLevelType w:val="singleLevel"/>
    <w:tmpl w:val="5518D51A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DC6247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24A404B"/>
    <w:multiLevelType w:val="singleLevel"/>
    <w:tmpl w:val="7396E43E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767913"/>
    <w:multiLevelType w:val="multilevel"/>
    <w:tmpl w:val="891428FE"/>
    <w:lvl w:ilvl="0">
      <w:start w:val="2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72"/>
    <w:rsid w:val="00801BC9"/>
    <w:rsid w:val="00F4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F6DF-A7A4-487C-89BA-BA8F3812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i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cap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caps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2160"/>
      <w:jc w:val="both"/>
      <w:outlineLvl w:val="7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left="3780"/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spacing w:line="360" w:lineRule="auto"/>
      <w:ind w:firstLine="2160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left="900" w:hanging="900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4821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 </Company>
  <LinksUpToDate>false</LinksUpToDate>
  <CharactersWithSpaces>30798</CharactersWithSpaces>
  <SharedDoc>false</SharedDoc>
  <HLinks>
    <vt:vector size="6" baseType="variant">
      <vt:variant>
        <vt:i4>6750256</vt:i4>
      </vt:variant>
      <vt:variant>
        <vt:i4>31850</vt:i4>
      </vt:variant>
      <vt:variant>
        <vt:i4>1025</vt:i4>
      </vt:variant>
      <vt:variant>
        <vt:i4>1</vt:i4>
      </vt:variant>
      <vt:variant>
        <vt:lpwstr>..\WINDOWS\Logotipo.bmp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..</dc:creator>
  <cp:keywords/>
  <cp:lastModifiedBy>Conta da Microsoft</cp:lastModifiedBy>
  <cp:revision>2</cp:revision>
  <cp:lastPrinted>2001-06-20T17:14:00Z</cp:lastPrinted>
  <dcterms:created xsi:type="dcterms:W3CDTF">2021-06-17T13:34:00Z</dcterms:created>
  <dcterms:modified xsi:type="dcterms:W3CDTF">2021-06-17T13:34:00Z</dcterms:modified>
</cp:coreProperties>
</file>